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65" w:type="pct"/>
        <w:jc w:val="center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1907"/>
        <w:gridCol w:w="599"/>
        <w:gridCol w:w="1295"/>
        <w:gridCol w:w="658"/>
        <w:gridCol w:w="182"/>
        <w:gridCol w:w="2916"/>
      </w:tblGrid>
      <w:tr w:rsidR="008D51C7" w:rsidRPr="005B3ACA" w:rsidTr="00D1548F">
        <w:trPr>
          <w:jc w:val="center"/>
        </w:trPr>
        <w:tc>
          <w:tcPr>
            <w:tcW w:w="5000" w:type="pct"/>
            <w:gridSpan w:val="7"/>
            <w:shd w:val="clear" w:color="auto" w:fill="365F91"/>
          </w:tcPr>
          <w:p w:rsidR="008D51C7" w:rsidRPr="005B3ACA" w:rsidRDefault="008D51C7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Program Studi Informatika </w:t>
            </w:r>
            <w:r w:rsidRPr="005B3ACA">
              <w:rPr>
                <w:rFonts w:cs="Calibri"/>
                <w:b/>
                <w:color w:val="FFFFFF"/>
                <w:sz w:val="18"/>
                <w:szCs w:val="18"/>
                <w:lang w:val="sv-SE"/>
              </w:rPr>
              <w:t xml:space="preserve">– </w:t>
            </w:r>
            <w:r w:rsidRPr="005B3ACA"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Universitas </w:t>
            </w:r>
            <w:r w:rsidRPr="005B3ACA">
              <w:rPr>
                <w:rFonts w:cs="Calibri"/>
                <w:color w:val="FFFFFF"/>
                <w:sz w:val="18"/>
                <w:szCs w:val="18"/>
                <w:lang w:val="id-ID"/>
              </w:rPr>
              <w:t>TRILOGI</w:t>
            </w:r>
          </w:p>
        </w:tc>
      </w:tr>
      <w:tr w:rsidR="008D51C7" w:rsidRPr="005B3ACA" w:rsidTr="00D1548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D51C7" w:rsidRPr="005B3ACA" w:rsidRDefault="008D51C7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shd w:val="clear" w:color="auto" w:fill="E6E6E6"/>
          </w:tcPr>
          <w:p w:rsidR="008D51C7" w:rsidRPr="005B3ACA" w:rsidRDefault="008D51C7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Kode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  <w:tc>
          <w:tcPr>
            <w:tcW w:w="1402" w:type="pct"/>
            <w:gridSpan w:val="2"/>
            <w:shd w:val="clear" w:color="auto" w:fill="E6E6E6"/>
          </w:tcPr>
          <w:p w:rsidR="008D51C7" w:rsidRPr="005B3ACA" w:rsidRDefault="008D51C7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Bobot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SKS</w:t>
            </w:r>
          </w:p>
        </w:tc>
        <w:tc>
          <w:tcPr>
            <w:tcW w:w="1093" w:type="pct"/>
            <w:gridSpan w:val="2"/>
            <w:shd w:val="clear" w:color="auto" w:fill="E6E6E6"/>
          </w:tcPr>
          <w:p w:rsidR="008D51C7" w:rsidRPr="005B3ACA" w:rsidRDefault="008D51C7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1734" w:type="pct"/>
            <w:gridSpan w:val="2"/>
            <w:shd w:val="clear" w:color="auto" w:fill="E6E6E6"/>
          </w:tcPr>
          <w:p w:rsidR="008D51C7" w:rsidRPr="005B3ACA" w:rsidRDefault="008D51C7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Sifat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tcBorders>
              <w:bottom w:val="single" w:sz="4" w:space="0" w:color="auto"/>
            </w:tcBorders>
          </w:tcPr>
          <w:p w:rsidR="008D51C7" w:rsidRPr="005B3ACA" w:rsidRDefault="008D51C7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SI2103</w:t>
            </w:r>
          </w:p>
        </w:tc>
        <w:tc>
          <w:tcPr>
            <w:tcW w:w="1402" w:type="pct"/>
            <w:gridSpan w:val="2"/>
          </w:tcPr>
          <w:p w:rsidR="008D51C7" w:rsidRPr="005B3ACA" w:rsidRDefault="008D51C7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 SKS</w:t>
            </w:r>
          </w:p>
        </w:tc>
        <w:tc>
          <w:tcPr>
            <w:tcW w:w="1093" w:type="pct"/>
            <w:gridSpan w:val="2"/>
          </w:tcPr>
          <w:p w:rsidR="008D51C7" w:rsidRPr="005B3ACA" w:rsidRDefault="008D51C7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III</w:t>
            </w:r>
          </w:p>
        </w:tc>
        <w:tc>
          <w:tcPr>
            <w:tcW w:w="1734" w:type="pct"/>
            <w:gridSpan w:val="2"/>
          </w:tcPr>
          <w:p w:rsidR="008D51C7" w:rsidRPr="005B3ACA" w:rsidRDefault="008D51C7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Wajib</w:t>
            </w:r>
            <w:proofErr w:type="spellEnd"/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Nama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  <w:tc>
          <w:tcPr>
            <w:tcW w:w="4229" w:type="pct"/>
            <w:gridSpan w:val="6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Organisasi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Arsitektur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Komputer</w:t>
            </w:r>
            <w:proofErr w:type="spellEnd"/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4229" w:type="pct"/>
            <w:gridSpan w:val="6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Computer Organization and Architecture</w:t>
            </w:r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Sifat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Perkuliahan</w:t>
            </w:r>
            <w:proofErr w:type="spellEnd"/>
          </w:p>
        </w:tc>
        <w:tc>
          <w:tcPr>
            <w:tcW w:w="4229" w:type="pct"/>
            <w:gridSpan w:val="6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Teori</w:t>
            </w:r>
            <w:proofErr w:type="spellEnd"/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  <w:proofErr w:type="spellEnd"/>
          </w:p>
        </w:tc>
        <w:tc>
          <w:tcPr>
            <w:tcW w:w="4229" w:type="pct"/>
            <w:gridSpan w:val="6"/>
          </w:tcPr>
          <w:p w:rsidR="008D51C7" w:rsidRPr="005B3ACA" w:rsidRDefault="008D51C7" w:rsidP="00D1548F">
            <w:pPr>
              <w:spacing w:before="120" w:after="120"/>
              <w:rPr>
                <w:rFonts w:ascii="Times New Roman" w:hAnsi="Symbol"/>
                <w:sz w:val="24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Materi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meliputi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: </w:t>
            </w:r>
            <w:bookmarkStart w:id="0" w:name="lingkup"/>
            <w:r w:rsidRPr="005B3ACA">
              <w:rPr>
                <w:rFonts w:cs="Calibri"/>
                <w:sz w:val="18"/>
                <w:szCs w:val="18"/>
              </w:rPr>
              <w:t xml:space="preserve">overview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tentang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organisasi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arsitektur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sebuah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komputer</w:t>
            </w:r>
            <w:proofErr w:type="spellEnd"/>
            <w:proofErr w:type="gramStart"/>
            <w:r w:rsidRPr="005B3ACA">
              <w:rPr>
                <w:rFonts w:cs="Calibri"/>
                <w:sz w:val="18"/>
                <w:szCs w:val="18"/>
              </w:rPr>
              <w:t xml:space="preserve">, 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representasi</w:t>
            </w:r>
            <w:proofErr w:type="spellEnd"/>
            <w:proofErr w:type="gramEnd"/>
            <w:r w:rsidRPr="005B3ACA">
              <w:rPr>
                <w:rFonts w:cs="Calibri"/>
                <w:sz w:val="18"/>
                <w:szCs w:val="18"/>
              </w:rPr>
              <w:t xml:space="preserve"> data/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informasi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rangkaian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logika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pemrograman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bahasa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assembly,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memori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, system input &amp; output.</w:t>
            </w:r>
            <w:bookmarkEnd w:id="0"/>
          </w:p>
        </w:tc>
      </w:tr>
      <w:tr w:rsidR="008D51C7" w:rsidRPr="005B3ACA" w:rsidTr="00D1548F">
        <w:trPr>
          <w:trHeight w:val="730"/>
          <w:jc w:val="center"/>
        </w:trPr>
        <w:tc>
          <w:tcPr>
            <w:tcW w:w="771" w:type="pct"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Tujuan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Instruksional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Umum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(TIU)</w:t>
            </w:r>
          </w:p>
        </w:tc>
        <w:tc>
          <w:tcPr>
            <w:tcW w:w="4229" w:type="pct"/>
            <w:gridSpan w:val="6"/>
          </w:tcPr>
          <w:p w:rsidR="008D51C7" w:rsidRPr="005B3ACA" w:rsidRDefault="008D51C7" w:rsidP="00D1548F">
            <w:pPr>
              <w:spacing w:before="120" w:after="120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Memberikan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pemahaman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tentang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:</w:t>
            </w:r>
          </w:p>
          <w:p w:rsidR="008D51C7" w:rsidRPr="005B3ACA" w:rsidRDefault="008D51C7" w:rsidP="008D51C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259" w:hanging="259"/>
              <w:rPr>
                <w:rFonts w:cs="Calibri"/>
                <w:sz w:val="18"/>
                <w:szCs w:val="18"/>
              </w:rPr>
            </w:pPr>
            <w:proofErr w:type="spellStart"/>
            <w:proofErr w:type="gramStart"/>
            <w:r w:rsidRPr="005B3ACA">
              <w:rPr>
                <w:rFonts w:cs="Calibri"/>
                <w:sz w:val="18"/>
                <w:szCs w:val="18"/>
              </w:rPr>
              <w:t>arsitektur</w:t>
            </w:r>
            <w:proofErr w:type="spellEnd"/>
            <w:proofErr w:type="gram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komputer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masa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masa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organisasi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fungsional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unit-unit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fungsional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utama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sesuai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sejarah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pengembangan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arsitektur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komputer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serta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eksekusi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sebuah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instruksi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mesin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von Neumann. </w:t>
            </w:r>
          </w:p>
          <w:p w:rsidR="008D51C7" w:rsidRPr="005B3ACA" w:rsidRDefault="008D51C7" w:rsidP="008D51C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259" w:hanging="259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Berbagai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format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untuk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merepresentasikan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data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numerik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B3ACA">
              <w:rPr>
                <w:rFonts w:cs="Calibri"/>
                <w:sz w:val="18"/>
                <w:szCs w:val="18"/>
              </w:rPr>
              <w:t>cara</w:t>
            </w:r>
            <w:proofErr w:type="spellEnd"/>
            <w:proofErr w:type="gram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penyimpanan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intejer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negatif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representasi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sign-magnitude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twos-complement,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serta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konversi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data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numerik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satu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format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format lain,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representasi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bilangan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fixed-length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mempengaruhi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akurasi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presisi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. </w:t>
            </w:r>
          </w:p>
          <w:p w:rsidR="008D51C7" w:rsidRPr="005B3ACA" w:rsidRDefault="008D51C7" w:rsidP="008D51C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259" w:hanging="259"/>
              <w:rPr>
                <w:rFonts w:cs="Calibri"/>
                <w:sz w:val="18"/>
                <w:szCs w:val="18"/>
              </w:rPr>
            </w:pPr>
            <w:proofErr w:type="spellStart"/>
            <w:proofErr w:type="gramStart"/>
            <w:r w:rsidRPr="005B3ACA">
              <w:rPr>
                <w:rFonts w:cs="Calibri"/>
                <w:sz w:val="18"/>
                <w:szCs w:val="18"/>
              </w:rPr>
              <w:t>representasi</w:t>
            </w:r>
            <w:proofErr w:type="spellEnd"/>
            <w:proofErr w:type="gram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instruksi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pada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machine level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konteks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sebuah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symbolic assembler,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program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bahasa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assembly.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penanganan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konsep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dasar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operasi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interrupts, I/O,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subroutine calls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pada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assembly level. </w:t>
            </w:r>
          </w:p>
          <w:p w:rsidR="008D51C7" w:rsidRPr="005B3ACA" w:rsidRDefault="008D51C7" w:rsidP="008D51C7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259" w:hanging="259"/>
              <w:rPr>
                <w:rFonts w:cs="Calibri"/>
                <w:sz w:val="18"/>
                <w:szCs w:val="18"/>
                <w:lang w:val="sv-SE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Teknologi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memori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pengaruh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memory latency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pada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running time,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hirarki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memori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untuk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mengurangi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memory latency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secara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efektif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prinsip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manajemen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memori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peranan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cache memory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virtual memory,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B3ACA">
              <w:rPr>
                <w:rFonts w:cs="Calibri"/>
                <w:sz w:val="18"/>
                <w:szCs w:val="18"/>
              </w:rPr>
              <w:t>cara</w:t>
            </w:r>
            <w:proofErr w:type="spellEnd"/>
            <w:proofErr w:type="gram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kerja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berdasarkan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virtual memory management.</w:t>
            </w:r>
          </w:p>
        </w:tc>
      </w:tr>
      <w:tr w:rsidR="008D51C7" w:rsidRPr="005B3ACA" w:rsidTr="00D1548F">
        <w:trPr>
          <w:trHeight w:val="730"/>
          <w:jc w:val="center"/>
        </w:trPr>
        <w:tc>
          <w:tcPr>
            <w:tcW w:w="771" w:type="pct"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4229" w:type="pct"/>
            <w:gridSpan w:val="6"/>
          </w:tcPr>
          <w:p w:rsidR="008D51C7" w:rsidRPr="005B3ACA" w:rsidRDefault="008D51C7" w:rsidP="00D1548F">
            <w:pPr>
              <w:spacing w:after="240"/>
              <w:rPr>
                <w:rFonts w:ascii="Times New Roman" w:hAnsi="Symbol"/>
                <w:sz w:val="24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menjelaskan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organisasi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arsitektur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sebuah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komputer</w:t>
            </w:r>
            <w:proofErr w:type="spellEnd"/>
            <w:proofErr w:type="gramStart"/>
            <w:r w:rsidRPr="005B3ACA">
              <w:rPr>
                <w:rFonts w:cs="Calibri"/>
                <w:sz w:val="18"/>
                <w:szCs w:val="18"/>
              </w:rPr>
              <w:t xml:space="preserve">, 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representasi</w:t>
            </w:r>
            <w:proofErr w:type="spellEnd"/>
            <w:proofErr w:type="gramEnd"/>
            <w:r w:rsidRPr="005B3ACA">
              <w:rPr>
                <w:rFonts w:cs="Calibri"/>
                <w:sz w:val="18"/>
                <w:szCs w:val="18"/>
              </w:rPr>
              <w:t xml:space="preserve"> data/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informasi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berbagai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jenis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rangkaian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digital,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bahasa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assembly,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cara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kerja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memori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serta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input &amp; output.</w:t>
            </w:r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4229" w:type="pct"/>
            <w:gridSpan w:val="6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Laboratorium Terkait</w:t>
            </w:r>
          </w:p>
        </w:tc>
        <w:tc>
          <w:tcPr>
            <w:tcW w:w="4229" w:type="pct"/>
            <w:gridSpan w:val="6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vMerge w:val="restart"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2127" w:type="pct"/>
            <w:gridSpan w:val="3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470" w:type="pct"/>
            <w:gridSpan w:val="2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1633" w:type="pct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vMerge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2127" w:type="pct"/>
            <w:gridSpan w:val="3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mester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 (UTS)</w:t>
            </w:r>
          </w:p>
        </w:tc>
        <w:tc>
          <w:tcPr>
            <w:tcW w:w="470" w:type="pct"/>
            <w:gridSpan w:val="2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1633" w:type="pct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Praktika</w:t>
            </w:r>
            <w:proofErr w:type="spellEnd"/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vMerge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2127" w:type="pct"/>
            <w:gridSpan w:val="3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Akhir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Semester (UAS)</w:t>
            </w:r>
          </w:p>
        </w:tc>
        <w:tc>
          <w:tcPr>
            <w:tcW w:w="470" w:type="pct"/>
            <w:gridSpan w:val="2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1633" w:type="pct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Praktika</w:t>
            </w:r>
            <w:proofErr w:type="spellEnd"/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vMerge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2127" w:type="pct"/>
            <w:gridSpan w:val="3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470" w:type="pct"/>
            <w:gridSpan w:val="2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50%</w:t>
            </w:r>
          </w:p>
        </w:tc>
        <w:tc>
          <w:tcPr>
            <w:tcW w:w="1633" w:type="pct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Praktika</w:t>
            </w:r>
            <w:proofErr w:type="spellEnd"/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lastRenderedPageBreak/>
              <w:t>Pustaka</w:t>
            </w:r>
          </w:p>
        </w:tc>
        <w:tc>
          <w:tcPr>
            <w:tcW w:w="4229" w:type="pct"/>
            <w:gridSpan w:val="6"/>
          </w:tcPr>
          <w:p w:rsidR="008D51C7" w:rsidRPr="005B3ACA" w:rsidRDefault="008D51C7" w:rsidP="008D51C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65" w:hanging="265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B3ACA">
              <w:rPr>
                <w:rFonts w:cs="Calibri"/>
                <w:color w:val="000000"/>
                <w:sz w:val="18"/>
                <w:szCs w:val="18"/>
              </w:rPr>
              <w:t xml:space="preserve">Patterson &amp; Hennessy, (1998). </w:t>
            </w:r>
            <w:hyperlink r:id="rId5" w:history="1">
              <w:r w:rsidRPr="005B3ACA">
                <w:rPr>
                  <w:rFonts w:cs="Calibri"/>
                  <w:bCs/>
                  <w:color w:val="000000"/>
                  <w:sz w:val="18"/>
                  <w:szCs w:val="18"/>
                </w:rPr>
                <w:t>Computer Organization and Design: The Hardware/Software Interface.</w:t>
              </w:r>
            </w:hyperlink>
            <w:r w:rsidRPr="005B3ACA">
              <w:rPr>
                <w:rFonts w:cs="Calibri"/>
                <w:color w:val="000000"/>
                <w:sz w:val="18"/>
                <w:szCs w:val="18"/>
              </w:rPr>
              <w:t xml:space="preserve"> Second Edition. San Francisco, CA: Morgan Kaufmann. </w:t>
            </w:r>
          </w:p>
          <w:p w:rsidR="008D51C7" w:rsidRPr="005B3ACA" w:rsidRDefault="008D51C7" w:rsidP="008D51C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65" w:hanging="265"/>
              <w:jc w:val="both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color w:val="000000"/>
                <w:sz w:val="18"/>
                <w:szCs w:val="18"/>
              </w:rPr>
              <w:t>Mano</w:t>
            </w:r>
            <w:proofErr w:type="spellEnd"/>
            <w:r w:rsidRPr="005B3ACA">
              <w:rPr>
                <w:rFonts w:cs="Calibri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color w:val="000000"/>
                <w:sz w:val="18"/>
                <w:szCs w:val="18"/>
              </w:rPr>
              <w:t>Kime</w:t>
            </w:r>
            <w:proofErr w:type="spellEnd"/>
            <w:r w:rsidRPr="005B3ACA">
              <w:rPr>
                <w:rFonts w:cs="Calibri"/>
                <w:color w:val="000000"/>
                <w:sz w:val="18"/>
                <w:szCs w:val="18"/>
              </w:rPr>
              <w:t xml:space="preserve">, (2001). </w:t>
            </w:r>
            <w:hyperlink r:id="rId6" w:history="1"/>
            <w:r w:rsidRPr="005B3ACA">
              <w:rPr>
                <w:rFonts w:cs="Calibri"/>
                <w:color w:val="000000"/>
                <w:sz w:val="18"/>
                <w:szCs w:val="18"/>
              </w:rPr>
              <w:t xml:space="preserve"> 2nd Edition Updated. Upper Saddle River, NJ: Prentice Hall. </w:t>
            </w:r>
            <w:bookmarkStart w:id="1" w:name="buku_utama"/>
          </w:p>
          <w:p w:rsidR="008D51C7" w:rsidRPr="005B3ACA" w:rsidRDefault="008D51C7" w:rsidP="008D51C7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265" w:hanging="265"/>
              <w:jc w:val="both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5B3ACA">
              <w:rPr>
                <w:rFonts w:cs="Calibri"/>
                <w:color w:val="000000"/>
                <w:sz w:val="18"/>
                <w:szCs w:val="18"/>
              </w:rPr>
              <w:t>Stallings :</w:t>
            </w:r>
            <w:proofErr w:type="gramEnd"/>
            <w:r w:rsidRPr="005B3ACA">
              <w:rPr>
                <w:rFonts w:cs="Calibri"/>
                <w:color w:val="000000"/>
                <w:sz w:val="18"/>
                <w:szCs w:val="18"/>
              </w:rPr>
              <w:t xml:space="preserve"> Computer Organization and Architecture, 6th Ed., Prentice Hall Inc. , 2000.</w:t>
            </w:r>
            <w:bookmarkEnd w:id="1"/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067" w:type="pct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Hari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: </w:t>
            </w:r>
          </w:p>
        </w:tc>
        <w:tc>
          <w:tcPr>
            <w:tcW w:w="1428" w:type="pct"/>
            <w:gridSpan w:val="3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Pukul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734" w:type="pct"/>
            <w:gridSpan w:val="2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Ruang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:</w:t>
            </w:r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2495" w:type="pct"/>
            <w:gridSpan w:val="4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734" w:type="pct"/>
            <w:gridSpan w:val="2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8D51C7" w:rsidRPr="005B3ACA" w:rsidTr="00D1548F">
        <w:trPr>
          <w:jc w:val="center"/>
        </w:trPr>
        <w:tc>
          <w:tcPr>
            <w:tcW w:w="771" w:type="pct"/>
            <w:shd w:val="clear" w:color="auto" w:fill="E6E6E6"/>
            <w:vAlign w:val="center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2495" w:type="pct"/>
            <w:gridSpan w:val="4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734" w:type="pct"/>
            <w:gridSpan w:val="2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8D51C7" w:rsidRDefault="008D51C7"/>
    <w:p w:rsidR="008D51C7" w:rsidRDefault="008D51C7">
      <w:r>
        <w:br w:type="page"/>
      </w:r>
    </w:p>
    <w:tbl>
      <w:tblPr>
        <w:tblW w:w="4693" w:type="pct"/>
        <w:jc w:val="center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956"/>
        <w:gridCol w:w="2107"/>
        <w:gridCol w:w="3457"/>
        <w:gridCol w:w="902"/>
      </w:tblGrid>
      <w:tr w:rsidR="008D51C7" w:rsidRPr="005B3ACA" w:rsidTr="00D1548F">
        <w:trPr>
          <w:jc w:val="center"/>
        </w:trPr>
        <w:tc>
          <w:tcPr>
            <w:tcW w:w="5000" w:type="pct"/>
            <w:gridSpan w:val="5"/>
            <w:shd w:val="clear" w:color="auto" w:fill="365F91"/>
          </w:tcPr>
          <w:p w:rsidR="008D51C7" w:rsidRPr="005B3ACA" w:rsidRDefault="008D51C7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color w:val="FFFFFF"/>
                <w:sz w:val="18"/>
                <w:szCs w:val="18"/>
                <w:lang w:val="sv-SE"/>
              </w:rPr>
              <w:lastRenderedPageBreak/>
              <w:t xml:space="preserve">Program Studi Informatika </w:t>
            </w:r>
            <w:r w:rsidRPr="005B3ACA">
              <w:rPr>
                <w:rFonts w:cs="Calibri"/>
                <w:b/>
                <w:color w:val="FFFFFF"/>
                <w:sz w:val="18"/>
                <w:szCs w:val="18"/>
                <w:lang w:val="sv-SE"/>
              </w:rPr>
              <w:t xml:space="preserve">– </w:t>
            </w:r>
            <w:r w:rsidRPr="005B3ACA"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Universitas </w:t>
            </w:r>
            <w:r w:rsidRPr="005B3ACA">
              <w:rPr>
                <w:rFonts w:cs="Calibri"/>
                <w:color w:val="FFFFFF"/>
                <w:sz w:val="18"/>
                <w:szCs w:val="18"/>
                <w:lang w:val="id-ID"/>
              </w:rPr>
              <w:t>TRILOGI</w:t>
            </w:r>
          </w:p>
        </w:tc>
      </w:tr>
      <w:tr w:rsidR="008D51C7" w:rsidRPr="005B3ACA" w:rsidTr="00D1548F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8D51C7" w:rsidRPr="005B3ACA" w:rsidRDefault="008D51C7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SATUAN ACARA PERKULIAHAN</w:t>
            </w:r>
          </w:p>
        </w:tc>
      </w:tr>
      <w:tr w:rsidR="008D51C7" w:rsidRPr="005B3ACA" w:rsidTr="00D1548F">
        <w:trPr>
          <w:jc w:val="center"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Kode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Kuliah:</w:t>
            </w:r>
            <w:r w:rsidRPr="005B3ACA">
              <w:rPr>
                <w:rFonts w:cs="Calibri"/>
                <w:bCs/>
                <w:sz w:val="18"/>
                <w:szCs w:val="18"/>
              </w:rPr>
              <w:t>SI2103</w:t>
            </w:r>
          </w:p>
        </w:tc>
        <w:tc>
          <w:tcPr>
            <w:tcW w:w="359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1C7" w:rsidRPr="005B3ACA" w:rsidRDefault="008D51C7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Nama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Mata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Kuliah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: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Organisasi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Arsitektur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Komputer</w:t>
            </w:r>
            <w:proofErr w:type="spellEnd"/>
          </w:p>
        </w:tc>
      </w:tr>
      <w:tr w:rsidR="008D51C7" w:rsidRPr="005B3ACA" w:rsidTr="00D1548F">
        <w:trPr>
          <w:jc w:val="center"/>
        </w:trPr>
        <w:tc>
          <w:tcPr>
            <w:tcW w:w="315" w:type="pct"/>
            <w:shd w:val="clear" w:color="auto" w:fill="EEECE1"/>
            <w:vAlign w:val="center"/>
          </w:tcPr>
          <w:p w:rsidR="008D51C7" w:rsidRPr="005B3ACA" w:rsidRDefault="008D51C7" w:rsidP="00D1548F">
            <w:pPr>
              <w:spacing w:before="120" w:after="120"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  <w:proofErr w:type="spellEnd"/>
          </w:p>
        </w:tc>
        <w:tc>
          <w:tcPr>
            <w:tcW w:w="1088" w:type="pct"/>
            <w:shd w:val="clear" w:color="auto" w:fill="EEECE1"/>
            <w:vAlign w:val="center"/>
          </w:tcPr>
          <w:p w:rsidR="008D51C7" w:rsidRPr="005B3ACA" w:rsidRDefault="008D51C7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1172" w:type="pct"/>
            <w:shd w:val="clear" w:color="auto" w:fill="EEECE1"/>
            <w:vAlign w:val="center"/>
          </w:tcPr>
          <w:p w:rsidR="008D51C7" w:rsidRPr="005B3ACA" w:rsidRDefault="008D51C7" w:rsidP="00D1548F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1923" w:type="pct"/>
            <w:shd w:val="clear" w:color="auto" w:fill="EEECE1"/>
            <w:vAlign w:val="center"/>
          </w:tcPr>
          <w:p w:rsidR="008D51C7" w:rsidRPr="005B3ACA" w:rsidRDefault="008D51C7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503" w:type="pct"/>
            <w:shd w:val="clear" w:color="auto" w:fill="EEECE1"/>
            <w:vAlign w:val="center"/>
          </w:tcPr>
          <w:p w:rsidR="008D51C7" w:rsidRPr="005B3ACA" w:rsidRDefault="008D51C7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88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 xml:space="preserve">Pendahuluan </w:t>
            </w:r>
          </w:p>
        </w:tc>
        <w:tc>
          <w:tcPr>
            <w:tcW w:w="1172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Sejarah komputer dan teknologi informasi</w:t>
            </w:r>
          </w:p>
        </w:tc>
        <w:tc>
          <w:tcPr>
            <w:tcW w:w="1923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Mampu merunut kemajuan TI</w:t>
            </w:r>
          </w:p>
        </w:tc>
        <w:tc>
          <w:tcPr>
            <w:tcW w:w="503" w:type="pct"/>
          </w:tcPr>
          <w:p w:rsidR="008D51C7" w:rsidRPr="00442618" w:rsidRDefault="008D51C7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88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Teknologi Komputer</w:t>
            </w:r>
          </w:p>
        </w:tc>
        <w:tc>
          <w:tcPr>
            <w:tcW w:w="1172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Arsitektur, Organisasi, abstraksi,cara kerja dan ISA</w:t>
            </w:r>
          </w:p>
        </w:tc>
        <w:tc>
          <w:tcPr>
            <w:tcW w:w="1923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 xml:space="preserve">Mampu memandang komputer sebagai sistem </w:t>
            </w:r>
          </w:p>
        </w:tc>
        <w:tc>
          <w:tcPr>
            <w:tcW w:w="503" w:type="pct"/>
          </w:tcPr>
          <w:p w:rsidR="008D51C7" w:rsidRPr="005B3ACA" w:rsidRDefault="008D51C7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88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Fungsional komputer Neumann</w:t>
            </w:r>
          </w:p>
        </w:tc>
        <w:tc>
          <w:tcPr>
            <w:tcW w:w="1172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CPU, memori, dan perangkat IO</w:t>
            </w:r>
          </w:p>
        </w:tc>
        <w:tc>
          <w:tcPr>
            <w:tcW w:w="1923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Mampu memahami fungsi utama sistem komputer</w:t>
            </w:r>
          </w:p>
        </w:tc>
        <w:tc>
          <w:tcPr>
            <w:tcW w:w="503" w:type="pct"/>
          </w:tcPr>
          <w:p w:rsidR="008D51C7" w:rsidRPr="005B3ACA" w:rsidRDefault="008D51C7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88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Representasi data-1</w:t>
            </w:r>
          </w:p>
        </w:tc>
        <w:tc>
          <w:tcPr>
            <w:tcW w:w="1172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 xml:space="preserve">Signed and unsigned binary </w:t>
            </w:r>
          </w:p>
        </w:tc>
        <w:tc>
          <w:tcPr>
            <w:tcW w:w="1923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Mampu mengkonversi biner-desimal-heksa</w:t>
            </w:r>
          </w:p>
        </w:tc>
        <w:tc>
          <w:tcPr>
            <w:tcW w:w="503" w:type="pct"/>
          </w:tcPr>
          <w:p w:rsidR="008D51C7" w:rsidRPr="005B3ACA" w:rsidRDefault="008D51C7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88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Representasi data-2</w:t>
            </w:r>
          </w:p>
        </w:tc>
        <w:tc>
          <w:tcPr>
            <w:tcW w:w="1172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Floating point dan karakter</w:t>
            </w:r>
          </w:p>
        </w:tc>
        <w:tc>
          <w:tcPr>
            <w:tcW w:w="1923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Mampu mengkonversi bil. Pecahan dan tabel ASCII</w:t>
            </w:r>
          </w:p>
        </w:tc>
        <w:tc>
          <w:tcPr>
            <w:tcW w:w="503" w:type="pct"/>
          </w:tcPr>
          <w:p w:rsidR="008D51C7" w:rsidRPr="005B3ACA" w:rsidRDefault="008D51C7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088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Komputer SAP 1 &amp; 2</w:t>
            </w:r>
          </w:p>
        </w:tc>
        <w:tc>
          <w:tcPr>
            <w:tcW w:w="1172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SAP 1dan SAP 2</w:t>
            </w:r>
          </w:p>
        </w:tc>
        <w:tc>
          <w:tcPr>
            <w:tcW w:w="1923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Mampu memahami cara kerja SAP dan menulis asemblinya</w:t>
            </w:r>
          </w:p>
        </w:tc>
        <w:tc>
          <w:tcPr>
            <w:tcW w:w="503" w:type="pct"/>
          </w:tcPr>
          <w:p w:rsidR="008D51C7" w:rsidRPr="005B3ACA" w:rsidRDefault="008D51C7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88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Komputer SAP-3</w:t>
            </w:r>
          </w:p>
        </w:tc>
        <w:tc>
          <w:tcPr>
            <w:tcW w:w="1172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SAP-3</w:t>
            </w:r>
          </w:p>
        </w:tc>
        <w:tc>
          <w:tcPr>
            <w:tcW w:w="1923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Mampu memahami SAP yang lebih rumit</w:t>
            </w:r>
          </w:p>
        </w:tc>
        <w:tc>
          <w:tcPr>
            <w:tcW w:w="503" w:type="pct"/>
          </w:tcPr>
          <w:p w:rsidR="008D51C7" w:rsidRPr="005B3ACA" w:rsidRDefault="008D51C7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5B3ACA" w:rsidRDefault="008D51C7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4685" w:type="pct"/>
            <w:gridSpan w:val="4"/>
          </w:tcPr>
          <w:p w:rsidR="008D51C7" w:rsidRPr="005B3ACA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Tengah Semester</w:t>
            </w:r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088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 xml:space="preserve">Kinerja </w:t>
            </w:r>
          </w:p>
        </w:tc>
        <w:tc>
          <w:tcPr>
            <w:tcW w:w="1172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Desain, tolok ukur dan benchmark</w:t>
            </w:r>
          </w:p>
        </w:tc>
        <w:tc>
          <w:tcPr>
            <w:tcW w:w="1923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bookmarkStart w:id="2" w:name="OLE_LINK1"/>
            <w:r w:rsidRPr="008A66E5">
              <w:rPr>
                <w:rFonts w:cs="Calibri"/>
                <w:sz w:val="18"/>
                <w:szCs w:val="18"/>
              </w:rPr>
              <w:t xml:space="preserve">Mampu memahami </w:t>
            </w:r>
            <w:bookmarkEnd w:id="2"/>
            <w:r w:rsidRPr="008A66E5">
              <w:rPr>
                <w:rFonts w:cs="Calibri"/>
                <w:sz w:val="18"/>
                <w:szCs w:val="18"/>
              </w:rPr>
              <w:t>kinerja komputer</w:t>
            </w:r>
          </w:p>
        </w:tc>
        <w:tc>
          <w:tcPr>
            <w:tcW w:w="503" w:type="pct"/>
          </w:tcPr>
          <w:p w:rsidR="008D51C7" w:rsidRPr="005B3ACA" w:rsidRDefault="008D51C7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088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Interkoneksi sistem</w:t>
            </w:r>
          </w:p>
        </w:tc>
        <w:tc>
          <w:tcPr>
            <w:tcW w:w="1172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Bus &amp; internal sistem dan internetwork</w:t>
            </w:r>
          </w:p>
        </w:tc>
        <w:tc>
          <w:tcPr>
            <w:tcW w:w="1923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Mampu memahami bus dan sistem jaringan</w:t>
            </w:r>
          </w:p>
        </w:tc>
        <w:tc>
          <w:tcPr>
            <w:tcW w:w="503" w:type="pct"/>
          </w:tcPr>
          <w:p w:rsidR="008D51C7" w:rsidRPr="005B3ACA" w:rsidRDefault="008D51C7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088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Perangkat IO dan perangkat pendukung IO</w:t>
            </w:r>
          </w:p>
        </w:tc>
        <w:tc>
          <w:tcPr>
            <w:tcW w:w="1172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Kategori, fungsi dan contoh; SCSI, Firewire, Infiniband</w:t>
            </w:r>
          </w:p>
        </w:tc>
        <w:tc>
          <w:tcPr>
            <w:tcW w:w="1923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Mamapu memahami fungsi perangkat IO dan pendukung IO</w:t>
            </w:r>
          </w:p>
        </w:tc>
        <w:tc>
          <w:tcPr>
            <w:tcW w:w="503" w:type="pct"/>
          </w:tcPr>
          <w:p w:rsidR="008D51C7" w:rsidRPr="005B3ACA" w:rsidRDefault="008D51C7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088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Teknologi prosesor dan kinerja</w:t>
            </w:r>
          </w:p>
        </w:tc>
        <w:tc>
          <w:tcPr>
            <w:tcW w:w="1172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CISC, RISC, pipeline dan superscalar</w:t>
            </w:r>
          </w:p>
        </w:tc>
        <w:tc>
          <w:tcPr>
            <w:tcW w:w="1923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Mamapu memahami teknologi prosesor</w:t>
            </w:r>
          </w:p>
        </w:tc>
        <w:tc>
          <w:tcPr>
            <w:tcW w:w="503" w:type="pct"/>
          </w:tcPr>
          <w:p w:rsidR="008D51C7" w:rsidRPr="005B3ACA" w:rsidRDefault="008D51C7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088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Teknologi mikroprosesor</w:t>
            </w:r>
          </w:p>
        </w:tc>
        <w:tc>
          <w:tcPr>
            <w:tcW w:w="1172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Pentium, motorola, AMD</w:t>
            </w:r>
          </w:p>
        </w:tc>
        <w:tc>
          <w:tcPr>
            <w:tcW w:w="1923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Mamapu memehami teknologi mikroprosesor</w:t>
            </w:r>
          </w:p>
        </w:tc>
        <w:tc>
          <w:tcPr>
            <w:tcW w:w="503" w:type="pct"/>
          </w:tcPr>
          <w:p w:rsidR="008D51C7" w:rsidRPr="005B3ACA" w:rsidRDefault="008D51C7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088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Arsitektur lanjut</w:t>
            </w:r>
          </w:p>
        </w:tc>
        <w:tc>
          <w:tcPr>
            <w:tcW w:w="1172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 xml:space="preserve">Taksonomi Flynn, multiprosesor, dan EPIC </w:t>
            </w:r>
          </w:p>
        </w:tc>
        <w:tc>
          <w:tcPr>
            <w:tcW w:w="1923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Mampu memahami teknologi maju</w:t>
            </w:r>
          </w:p>
        </w:tc>
        <w:tc>
          <w:tcPr>
            <w:tcW w:w="503" w:type="pct"/>
          </w:tcPr>
          <w:p w:rsidR="008D51C7" w:rsidRPr="005B3ACA" w:rsidRDefault="008D51C7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88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Arsitektur lanjut</w:t>
            </w:r>
          </w:p>
        </w:tc>
        <w:tc>
          <w:tcPr>
            <w:tcW w:w="1172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Vector processor, Stack computer, dan supercomputing</w:t>
            </w:r>
          </w:p>
        </w:tc>
        <w:tc>
          <w:tcPr>
            <w:tcW w:w="1923" w:type="pct"/>
          </w:tcPr>
          <w:p w:rsidR="008D51C7" w:rsidRPr="008A66E5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A66E5">
              <w:rPr>
                <w:rFonts w:cs="Calibri"/>
                <w:sz w:val="18"/>
                <w:szCs w:val="18"/>
              </w:rPr>
              <w:t>Mampu memahami teknologi maju</w:t>
            </w:r>
          </w:p>
        </w:tc>
        <w:tc>
          <w:tcPr>
            <w:tcW w:w="503" w:type="pct"/>
          </w:tcPr>
          <w:p w:rsidR="008D51C7" w:rsidRPr="005B3ACA" w:rsidRDefault="008D51C7" w:rsidP="00D1548F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8D51C7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315" w:type="pct"/>
          </w:tcPr>
          <w:p w:rsidR="008D51C7" w:rsidRPr="005B3ACA" w:rsidRDefault="008D51C7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1088" w:type="pct"/>
          </w:tcPr>
          <w:p w:rsidR="008D51C7" w:rsidRPr="005B3ACA" w:rsidRDefault="008D51C7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Akhir</w:t>
            </w:r>
            <w:proofErr w:type="spellEnd"/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1172" w:type="pct"/>
          </w:tcPr>
          <w:p w:rsidR="008D51C7" w:rsidRPr="005B3ACA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1923" w:type="pct"/>
          </w:tcPr>
          <w:p w:rsidR="008D51C7" w:rsidRPr="005B3ACA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503" w:type="pct"/>
          </w:tcPr>
          <w:p w:rsidR="008D51C7" w:rsidRPr="005B3ACA" w:rsidRDefault="008D51C7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</w:tbl>
    <w:p w:rsidR="006E1DE0" w:rsidRDefault="008D51C7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791"/>
    <w:multiLevelType w:val="hybridMultilevel"/>
    <w:tmpl w:val="958E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54816"/>
    <w:multiLevelType w:val="hybridMultilevel"/>
    <w:tmpl w:val="788A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51C7"/>
    <w:rsid w:val="006F08BB"/>
    <w:rsid w:val="008D51C7"/>
    <w:rsid w:val="00A45E14"/>
    <w:rsid w:val="00C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C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1C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D51C7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8D51C7"/>
    <w:rPr>
      <w:rFonts w:ascii="Calibri" w:eastAsia="Calibri" w:hAnsi="Calibri" w:cs="Times New Roman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exec/obidos/ASIN/0130124680/qid=999198690/sr=1-1/ref=sc_b_1/107-9194455-0399741" TargetMode="External"/><Relationship Id="rId5" Type="http://schemas.openxmlformats.org/officeDocument/2006/relationships/hyperlink" Target="http://www.amazon.com/exec/obidos/ASIN/1558604286/qid=967561701/sr=1-2/002-7956298-9184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2013-06-14T17:06:00Z</dcterms:created>
  <dcterms:modified xsi:type="dcterms:W3CDTF">2013-06-14T17:16:00Z</dcterms:modified>
</cp:coreProperties>
</file>