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8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2268"/>
        <w:gridCol w:w="851"/>
        <w:gridCol w:w="425"/>
        <w:gridCol w:w="567"/>
        <w:gridCol w:w="992"/>
        <w:gridCol w:w="758"/>
        <w:gridCol w:w="2311"/>
      </w:tblGrid>
      <w:tr w:rsidR="00B12D16" w:rsidRPr="001275C1" w:rsidTr="00D7252E">
        <w:tc>
          <w:tcPr>
            <w:tcW w:w="1384" w:type="dxa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 xml:space="preserve">Kode Kuliah: </w:t>
            </w:r>
          </w:p>
          <w:p w:rsidR="00B12D16" w:rsidRPr="001275C1" w:rsidRDefault="00123A15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3A15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MNJ411016</w:t>
            </w:r>
          </w:p>
        </w:tc>
        <w:tc>
          <w:tcPr>
            <w:tcW w:w="992" w:type="dxa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Kredit: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</w:p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 xml:space="preserve">Semester: </w:t>
            </w: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gridSpan w:val="3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Kelompok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Keilmuan (KK):</w:t>
            </w:r>
          </w:p>
        </w:tc>
        <w:tc>
          <w:tcPr>
            <w:tcW w:w="3069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Manajemen</w:t>
            </w:r>
            <w:proofErr w:type="spellEnd"/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Sifat kuliah</w:t>
            </w:r>
          </w:p>
        </w:tc>
        <w:tc>
          <w:tcPr>
            <w:tcW w:w="8172" w:type="dxa"/>
            <w:gridSpan w:val="7"/>
          </w:tcPr>
          <w:p w:rsidR="00B12D16" w:rsidRPr="001275C1" w:rsidRDefault="00B12D16" w:rsidP="00D7252E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Wajib</w:t>
            </w:r>
            <w:proofErr w:type="spellEnd"/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Kelompok Kuliah</w:t>
            </w:r>
          </w:p>
        </w:tc>
        <w:tc>
          <w:tcPr>
            <w:tcW w:w="8172" w:type="dxa"/>
            <w:gridSpan w:val="7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Course Title (Indonesian)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Nama  Mata Kuliah</w:t>
            </w:r>
          </w:p>
        </w:tc>
        <w:tc>
          <w:tcPr>
            <w:tcW w:w="8172" w:type="dxa"/>
            <w:gridSpan w:val="7"/>
          </w:tcPr>
          <w:p w:rsidR="00B12D16" w:rsidRPr="001275C1" w:rsidRDefault="00B12D16" w:rsidP="00D7252E">
            <w:pPr>
              <w:rPr>
                <w:rFonts w:ascii="Arial Narrow" w:hAnsi="Arial Narrow"/>
                <w:i/>
                <w:color w:val="FF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</w:t>
            </w: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anajemen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Merek</w:t>
            </w:r>
            <w:proofErr w:type="spellEnd"/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Course Title (English)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Nama  Mata Kuliah</w:t>
            </w:r>
          </w:p>
        </w:tc>
        <w:tc>
          <w:tcPr>
            <w:tcW w:w="8172" w:type="dxa"/>
            <w:gridSpan w:val="7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Product and Brand Management</w:t>
            </w:r>
          </w:p>
        </w:tc>
      </w:tr>
      <w:tr w:rsidR="00B12D16" w:rsidRPr="001275C1" w:rsidTr="00D7252E">
        <w:trPr>
          <w:trHeight w:val="728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Short Description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Deskripsi</w:t>
            </w:r>
            <w:proofErr w:type="spellEnd"/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Mata </w:t>
            </w:r>
            <w:proofErr w:type="spellStart"/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8172" w:type="dxa"/>
            <w:gridSpan w:val="7"/>
          </w:tcPr>
          <w:p w:rsidR="00B12D16" w:rsidRPr="001275C1" w:rsidRDefault="00B12D16" w:rsidP="00B97472">
            <w:pPr>
              <w:jc w:val="both"/>
              <w:rPr>
                <w:rFonts w:ascii="Arial Narrow" w:hAnsi="Arial Narrow" w:cs="Arial"/>
                <w:lang w:val="en-US"/>
              </w:rPr>
            </w:pPr>
            <w:proofErr w:type="spellStart"/>
            <w:r w:rsidRPr="001275C1">
              <w:rPr>
                <w:rFonts w:ascii="Arial Narrow" w:hAnsi="Arial Narrow" w:cs="Arial"/>
              </w:rPr>
              <w:t>Secara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umum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mata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kuliah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ini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memberikan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arahan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dan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panduan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bagi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mahasiswa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untuk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memahami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dan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menguasai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pengetahuan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tentang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pengelolaan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produk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sebagai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lanjutan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dari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mata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kuliah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Manajemen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Pemasaran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 w:rsidRPr="001275C1">
              <w:rPr>
                <w:rFonts w:ascii="Arial Narrow" w:hAnsi="Arial Narrow" w:cs="Arial"/>
              </w:rPr>
              <w:t>Setelah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mengikuti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perkuliahan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ini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diharapkan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mahasiswa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mendapatkan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pengetahuan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lanjutan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mengenai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pengelolaan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produk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barudari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elemen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pengembangan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produk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prosesnya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menemukan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masalah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konsumen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dengan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menganalisis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penjualan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hingga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merencanakan</w:t>
            </w:r>
            <w:proofErr w:type="spellEnd"/>
            <w:r>
              <w:rPr>
                <w:rFonts w:ascii="Arial Narrow" w:hAnsi="Arial Narrow" w:cs="Arial"/>
              </w:rPr>
              <w:t xml:space="preserve"> launch </w:t>
            </w:r>
            <w:proofErr w:type="spellStart"/>
            <w:r>
              <w:rPr>
                <w:rFonts w:ascii="Arial Narrow" w:hAnsi="Arial Narrow" w:cs="Arial"/>
              </w:rPr>
              <w:t>produk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ekuitas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posisioning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rantai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nilai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mendesain</w:t>
            </w:r>
            <w:proofErr w:type="spellEnd"/>
            <w:r>
              <w:rPr>
                <w:rFonts w:ascii="Arial Narrow" w:hAnsi="Arial Narrow" w:cs="Arial"/>
              </w:rPr>
              <w:t xml:space="preserve"> program </w:t>
            </w:r>
            <w:proofErr w:type="spellStart"/>
            <w:r>
              <w:rPr>
                <w:rFonts w:ascii="Arial Narrow" w:hAnsi="Arial Narrow" w:cs="Arial"/>
              </w:rPr>
              <w:t>pemasaran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untuk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membangun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ekuitas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mengembangkan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mengukur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ekuitas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>
              <w:rPr>
                <w:rFonts w:ascii="Arial Narrow" w:hAnsi="Arial Narrow" w:cs="Arial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</w:rPr>
              <w:t>m</w:t>
            </w:r>
            <w:r w:rsidRPr="001275C1">
              <w:rPr>
                <w:rFonts w:ascii="Arial Narrow" w:hAnsi="Arial Narrow" w:cs="Arial"/>
              </w:rPr>
              <w:t>emerlukan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ketajaman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analisis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dan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pengambilan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keputusan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Goals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Tujuan Instruksional Umum (TIU)</w:t>
            </w:r>
          </w:p>
        </w:tc>
        <w:tc>
          <w:tcPr>
            <w:tcW w:w="8172" w:type="dxa"/>
            <w:gridSpan w:val="7"/>
          </w:tcPr>
          <w:p w:rsidR="00B12D16" w:rsidRPr="001275C1" w:rsidRDefault="00B12D16" w:rsidP="00D7252E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1275C1">
              <w:rPr>
                <w:rFonts w:ascii="Arial Narrow" w:hAnsi="Arial Narrow" w:cs="Arial"/>
              </w:rPr>
              <w:t>Setelah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mengikuti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mata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kuliah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ini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mahasiswa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mampu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menjelaskan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pengertian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umum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dalam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Start"/>
            <w:r w:rsidRPr="001275C1">
              <w:rPr>
                <w:rFonts w:ascii="Arial Narrow" w:hAnsi="Arial Narrow" w:cs="Arial"/>
              </w:rPr>
              <w:t>lingkup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 </w:t>
            </w:r>
            <w:proofErr w:type="spellStart"/>
            <w:r w:rsidRPr="001275C1">
              <w:rPr>
                <w:rFonts w:ascii="Arial Narrow" w:hAnsi="Arial Narrow" w:cs="Arial"/>
              </w:rPr>
              <w:t>manajemen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produk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merek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beserta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fungsinya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untuk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proses </w:t>
            </w:r>
            <w:proofErr w:type="spellStart"/>
            <w:r w:rsidRPr="001275C1">
              <w:rPr>
                <w:rFonts w:ascii="Arial Narrow" w:hAnsi="Arial Narrow" w:cs="Arial"/>
              </w:rPr>
              <w:t>p</w:t>
            </w:r>
            <w:r w:rsidR="00B922F8">
              <w:rPr>
                <w:rFonts w:ascii="Arial Narrow" w:hAnsi="Arial Narrow" w:cs="Arial"/>
              </w:rPr>
              <w:t>engambilan</w:t>
            </w:r>
            <w:proofErr w:type="spellEnd"/>
            <w:r w:rsidR="00B922F8">
              <w:rPr>
                <w:rFonts w:ascii="Arial Narrow" w:hAnsi="Arial Narrow" w:cs="Arial"/>
              </w:rPr>
              <w:t xml:space="preserve"> </w:t>
            </w:r>
            <w:proofErr w:type="spellStart"/>
            <w:r w:rsidR="00B922F8">
              <w:rPr>
                <w:rFonts w:ascii="Arial Narrow" w:hAnsi="Arial Narrow" w:cs="Arial"/>
              </w:rPr>
              <w:t>keputusan</w:t>
            </w:r>
            <w:proofErr w:type="spellEnd"/>
            <w:r w:rsidR="00B922F8">
              <w:rPr>
                <w:rFonts w:ascii="Arial Narrow" w:hAnsi="Arial Narrow" w:cs="Arial"/>
              </w:rPr>
              <w:t xml:space="preserve"> </w:t>
            </w:r>
            <w:proofErr w:type="spellStart"/>
            <w:r w:rsidR="00B922F8">
              <w:rPr>
                <w:rFonts w:ascii="Arial Narrow" w:hAnsi="Arial Narrow" w:cs="Arial"/>
              </w:rPr>
              <w:t>dan</w:t>
            </w:r>
            <w:proofErr w:type="spellEnd"/>
            <w:r w:rsidR="00B922F8">
              <w:rPr>
                <w:rFonts w:ascii="Arial Narrow" w:hAnsi="Arial Narrow" w:cs="Arial"/>
              </w:rPr>
              <w:t xml:space="preserve"> </w:t>
            </w:r>
            <w:proofErr w:type="spellStart"/>
            <w:r w:rsidR="00B922F8">
              <w:rPr>
                <w:rFonts w:ascii="Arial Narrow" w:hAnsi="Arial Narrow" w:cs="Arial"/>
              </w:rPr>
              <w:t>pencap</w:t>
            </w:r>
            <w:r w:rsidRPr="001275C1">
              <w:rPr>
                <w:rFonts w:ascii="Arial Narrow" w:hAnsi="Arial Narrow" w:cs="Arial"/>
              </w:rPr>
              <w:t>aian</w:t>
            </w:r>
            <w:proofErr w:type="spellEnd"/>
            <w:r w:rsidRPr="001275C1">
              <w:rPr>
                <w:rFonts w:ascii="Arial Narrow" w:hAnsi="Arial Narrow" w:cs="Arial"/>
              </w:rPr>
              <w:t xml:space="preserve"> </w:t>
            </w:r>
            <w:proofErr w:type="spellStart"/>
            <w:r w:rsidRPr="001275C1">
              <w:rPr>
                <w:rFonts w:ascii="Arial Narrow" w:hAnsi="Arial Narrow" w:cs="Arial"/>
              </w:rPr>
              <w:t>tujuan</w:t>
            </w:r>
            <w:proofErr w:type="spellEnd"/>
            <w:r w:rsidRPr="001275C1">
              <w:rPr>
                <w:rFonts w:ascii="Arial Narrow" w:hAnsi="Arial Narrow" w:cs="Arial"/>
              </w:rPr>
              <w:t>.</w:t>
            </w:r>
          </w:p>
          <w:p w:rsidR="00B12D16" w:rsidRPr="001275C1" w:rsidRDefault="00B12D16" w:rsidP="00D7252E">
            <w:pPr>
              <w:ind w:firstLine="720"/>
              <w:jc w:val="both"/>
              <w:rPr>
                <w:rFonts w:ascii="Arial Narrow" w:hAnsi="Arial Narrow" w:cs="Arial"/>
              </w:rPr>
            </w:pPr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Offered To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(Program Studi Peserta)</w:t>
            </w:r>
          </w:p>
        </w:tc>
        <w:tc>
          <w:tcPr>
            <w:tcW w:w="2268" w:type="dxa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Manajemen</w:t>
            </w:r>
            <w:proofErr w:type="spellEnd"/>
          </w:p>
        </w:tc>
        <w:tc>
          <w:tcPr>
            <w:tcW w:w="1843" w:type="dxa"/>
            <w:gridSpan w:val="3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4061" w:type="dxa"/>
            <w:gridSpan w:val="3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Prerequisite</w:t>
            </w: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 xml:space="preserve"> Courses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Prasyarat/Berkaitan</w:t>
            </w:r>
          </w:p>
        </w:tc>
        <w:tc>
          <w:tcPr>
            <w:tcW w:w="2268" w:type="dxa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Tidak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ada</w:t>
            </w:r>
            <w:proofErr w:type="spellEnd"/>
          </w:p>
        </w:tc>
        <w:tc>
          <w:tcPr>
            <w:tcW w:w="5904" w:type="dxa"/>
            <w:gridSpan w:val="6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55"/>
        </w:trPr>
        <w:tc>
          <w:tcPr>
            <w:tcW w:w="2376" w:type="dxa"/>
            <w:gridSpan w:val="2"/>
            <w:vMerge w:val="restart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Competence Level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Remember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Merge w:val="restart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Technical Skill</w:t>
            </w:r>
          </w:p>
        </w:tc>
        <w:tc>
          <w:tcPr>
            <w:tcW w:w="2311" w:type="dxa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B12D16" w:rsidRPr="001275C1" w:rsidTr="00D7252E">
        <w:trPr>
          <w:trHeight w:val="155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Understand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Personal Skill</w:t>
            </w:r>
          </w:p>
        </w:tc>
        <w:tc>
          <w:tcPr>
            <w:tcW w:w="2311" w:type="dxa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B12D16" w:rsidRPr="001275C1" w:rsidTr="00D7252E">
        <w:trPr>
          <w:trHeight w:val="155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Apply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Interpersonal &amp; CS</w:t>
            </w:r>
          </w:p>
        </w:tc>
        <w:tc>
          <w:tcPr>
            <w:tcW w:w="2311" w:type="dxa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B12D16" w:rsidRPr="001275C1" w:rsidTr="00D7252E">
        <w:trPr>
          <w:trHeight w:val="242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Analyze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Organizational &amp; Business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Mgmt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Skill</w:t>
            </w:r>
          </w:p>
        </w:tc>
        <w:tc>
          <w:tcPr>
            <w:tcW w:w="2311" w:type="dxa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B12D16" w:rsidRPr="001275C1" w:rsidTr="00D7252E">
        <w:trPr>
          <w:trHeight w:val="155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Evaluate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sym w:font="Symbol" w:char="F0D6"/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55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Create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17"/>
        </w:trPr>
        <w:tc>
          <w:tcPr>
            <w:tcW w:w="2376" w:type="dxa"/>
            <w:gridSpan w:val="2"/>
            <w:vMerge w:val="restart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Activity (hour/week)</w:t>
            </w:r>
          </w:p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Kegiatan per jam per minggu</w:t>
            </w: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i/>
                <w:iCs/>
                <w:sz w:val="22"/>
                <w:szCs w:val="22"/>
                <w:lang w:val="id-ID"/>
              </w:rPr>
              <w:t>Course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(kuliah)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tabs>
                <w:tab w:val="num" w:pos="505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16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i/>
                <w:iCs/>
                <w:sz w:val="22"/>
                <w:szCs w:val="22"/>
                <w:lang w:val="id-ID"/>
              </w:rPr>
              <w:t>Tutorial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(responsi)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>-</w:t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tabs>
                <w:tab w:val="num" w:pos="505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16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id-ID"/>
              </w:rPr>
            </w:pPr>
            <w:proofErr w:type="spellStart"/>
            <w:r w:rsidRPr="001275C1"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  <w:t>Praktikum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>-</w:t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tabs>
                <w:tab w:val="num" w:pos="505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16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>Kerja mandiri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tabs>
                <w:tab w:val="num" w:pos="505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16"/>
        </w:trPr>
        <w:tc>
          <w:tcPr>
            <w:tcW w:w="2376" w:type="dxa"/>
            <w:gridSpan w:val="2"/>
            <w:vMerge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Tugas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567" w:type="dxa"/>
            <w:vMerge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750" w:type="dxa"/>
            <w:gridSpan w:val="2"/>
          </w:tcPr>
          <w:p w:rsidR="00B12D16" w:rsidRPr="001275C1" w:rsidRDefault="00B12D16" w:rsidP="00D7252E">
            <w:pPr>
              <w:tabs>
                <w:tab w:val="num" w:pos="505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2311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color w:val="FF0000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74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pt-BR"/>
              </w:rPr>
            </w:pPr>
            <w:r w:rsidRPr="001275C1">
              <w:rPr>
                <w:rFonts w:ascii="Arial Narrow" w:hAnsi="Arial Narrow"/>
                <w:b/>
                <w:bCs/>
                <w:iCs/>
                <w:sz w:val="22"/>
                <w:szCs w:val="22"/>
                <w:lang w:val="pt-BR"/>
              </w:rPr>
              <w:t>Evaluasi Proses Belajar Mengajar (Penilaian)</w:t>
            </w: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4628" w:type="dxa"/>
            <w:gridSpan w:val="4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74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UTS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30%</w:t>
            </w:r>
          </w:p>
        </w:tc>
        <w:tc>
          <w:tcPr>
            <w:tcW w:w="4628" w:type="dxa"/>
            <w:gridSpan w:val="4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74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UAS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30%</w:t>
            </w:r>
          </w:p>
        </w:tc>
        <w:tc>
          <w:tcPr>
            <w:tcW w:w="4628" w:type="dxa"/>
            <w:gridSpan w:val="4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174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Cs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B12D16" w:rsidRPr="001275C1" w:rsidRDefault="00B12D16" w:rsidP="00D7252E">
            <w:pPr>
              <w:tabs>
                <w:tab w:val="num" w:pos="505"/>
              </w:tabs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Tugas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Mandiri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=</w:t>
            </w:r>
          </w:p>
        </w:tc>
        <w:tc>
          <w:tcPr>
            <w:tcW w:w="1276" w:type="dxa"/>
            <w:gridSpan w:val="2"/>
          </w:tcPr>
          <w:p w:rsidR="00B12D16" w:rsidRPr="001275C1" w:rsidRDefault="00B12D16" w:rsidP="00D7252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40%</w:t>
            </w:r>
          </w:p>
        </w:tc>
        <w:tc>
          <w:tcPr>
            <w:tcW w:w="4628" w:type="dxa"/>
            <w:gridSpan w:val="4"/>
          </w:tcPr>
          <w:p w:rsidR="00B12D16" w:rsidRPr="001275C1" w:rsidRDefault="00B12D16" w:rsidP="00D7252E">
            <w:pPr>
              <w:tabs>
                <w:tab w:val="num" w:pos="505"/>
              </w:tabs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</w:tr>
      <w:tr w:rsidR="00B12D16" w:rsidRPr="001275C1" w:rsidTr="00D7252E">
        <w:trPr>
          <w:trHeight w:val="612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id-ID"/>
              </w:rPr>
              <w:t>References/Bibliography</w:t>
            </w:r>
          </w:p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Referensi</w:t>
            </w:r>
          </w:p>
        </w:tc>
        <w:tc>
          <w:tcPr>
            <w:tcW w:w="8172" w:type="dxa"/>
            <w:gridSpan w:val="7"/>
          </w:tcPr>
          <w:p w:rsidR="00B12D16" w:rsidRPr="00B922F8" w:rsidRDefault="00B12D16" w:rsidP="00B12D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</w:rPr>
              <w:t xml:space="preserve">Merle Crawford &amp; Anthony Di Benedetto. </w:t>
            </w:r>
            <w:r w:rsidRPr="00B922F8">
              <w:rPr>
                <w:rFonts w:ascii="Arial Narrow" w:hAnsi="Arial Narrow" w:cs="Arial"/>
                <w:sz w:val="22"/>
                <w:u w:val="single"/>
              </w:rPr>
              <w:t>New Products Management</w:t>
            </w:r>
            <w:r>
              <w:rPr>
                <w:rFonts w:ascii="Arial Narrow" w:hAnsi="Arial Narrow" w:cs="Arial"/>
                <w:sz w:val="22"/>
              </w:rPr>
              <w:t>.10</w:t>
            </w:r>
            <w:r w:rsidRPr="004B6CE2">
              <w:rPr>
                <w:rFonts w:ascii="Arial Narrow" w:hAnsi="Arial Narrow" w:cs="Arial"/>
                <w:sz w:val="22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2"/>
              </w:rPr>
              <w:t>ed</w:t>
            </w:r>
            <w:proofErr w:type="gramEnd"/>
            <w:r w:rsidRPr="004B6CE2">
              <w:rPr>
                <w:rFonts w:ascii="Arial Narrow" w:hAnsi="Arial Narrow" w:cs="Arial"/>
                <w:sz w:val="22"/>
              </w:rPr>
              <w:t xml:space="preserve">. New </w:t>
            </w:r>
            <w:r>
              <w:rPr>
                <w:rFonts w:ascii="Arial Narrow" w:hAnsi="Arial Narrow" w:cs="Arial"/>
                <w:sz w:val="22"/>
              </w:rPr>
              <w:t>York</w:t>
            </w:r>
            <w:r w:rsidRPr="004B6CE2">
              <w:rPr>
                <w:rFonts w:ascii="Arial Narrow" w:hAnsi="Arial Narrow" w:cs="Arial"/>
                <w:sz w:val="22"/>
              </w:rPr>
              <w:t xml:space="preserve"> : </w:t>
            </w:r>
            <w:r>
              <w:rPr>
                <w:rFonts w:ascii="Arial Narrow" w:hAnsi="Arial Narrow" w:cs="Arial"/>
                <w:sz w:val="22"/>
              </w:rPr>
              <w:t>McGraw Hill Book Co</w:t>
            </w:r>
            <w:r w:rsidRPr="004B6CE2">
              <w:rPr>
                <w:rFonts w:ascii="Arial Narrow" w:hAnsi="Arial Narrow" w:cs="Arial"/>
                <w:sz w:val="22"/>
              </w:rPr>
              <w:t>. (</w:t>
            </w:r>
            <w:r>
              <w:rPr>
                <w:rFonts w:ascii="Arial Narrow" w:hAnsi="Arial Narrow" w:cs="Arial"/>
                <w:sz w:val="22"/>
              </w:rPr>
              <w:t>P</w:t>
            </w:r>
            <w:r w:rsidRPr="004B6CE2">
              <w:rPr>
                <w:rFonts w:ascii="Arial Narrow" w:hAnsi="Arial Narrow" w:cs="Arial"/>
                <w:sz w:val="22"/>
              </w:rPr>
              <w:t>)</w:t>
            </w:r>
          </w:p>
          <w:p w:rsidR="00B922F8" w:rsidRPr="004B6CE2" w:rsidRDefault="00B922F8" w:rsidP="00B922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Kevin Lane 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val="en-US"/>
              </w:rPr>
              <w:t>Keller .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B922F8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Strategic Brand Management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.4</w:t>
            </w:r>
            <w:r w:rsidRPr="00B922F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  <w:lang w:val="en-US"/>
              </w:rPr>
              <w:t>ed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New Jersey. Pearson Education Limited. (M)</w:t>
            </w:r>
          </w:p>
        </w:tc>
      </w:tr>
      <w:tr w:rsidR="00B12D16" w:rsidRPr="001275C1" w:rsidTr="00D7252E">
        <w:trPr>
          <w:trHeight w:val="1070"/>
        </w:trPr>
        <w:tc>
          <w:tcPr>
            <w:tcW w:w="2376" w:type="dxa"/>
            <w:gridSpan w:val="2"/>
          </w:tcPr>
          <w:p w:rsidR="00B12D16" w:rsidRPr="001275C1" w:rsidRDefault="00B12D16" w:rsidP="00D7252E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1275C1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lastRenderedPageBreak/>
              <w:t>Strategi Pedagogi dan Pesan untuk para pengajar</w:t>
            </w:r>
          </w:p>
        </w:tc>
        <w:tc>
          <w:tcPr>
            <w:tcW w:w="8172" w:type="dxa"/>
            <w:gridSpan w:val="7"/>
          </w:tcPr>
          <w:p w:rsidR="00B12D16" w:rsidRDefault="00B12D16" w:rsidP="00D7252E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Manajemen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merupakan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mata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kuliah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  <w:lang w:val="en-US"/>
              </w:rPr>
              <w:t>lanjutan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 yang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merupakan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mata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kuliah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w</w:t>
            </w: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ajib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bagi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mengambil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konsentrasi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pemasaran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Pengajar diharapkan menerapkan metoda pembelajaran </w:t>
            </w: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active learning yang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melalui proses kuliah, belajar mandiri, diskusi kelas,</w:t>
            </w: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presentasi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pengerjaan tugas</w:t>
            </w:r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>dan</w:t>
            </w:r>
            <w:proofErr w:type="spellEnd"/>
            <w:r w:rsidRPr="001275C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1275C1">
              <w:rPr>
                <w:rFonts w:ascii="Arial Narrow" w:hAnsi="Arial Narrow"/>
                <w:sz w:val="22"/>
                <w:szCs w:val="22"/>
                <w:lang w:val="id-ID"/>
              </w:rPr>
              <w:t xml:space="preserve"> latihan soal.</w:t>
            </w:r>
          </w:p>
          <w:p w:rsidR="00B12D16" w:rsidRPr="00B12D16" w:rsidRDefault="00B12D16" w:rsidP="00D7252E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B12D16" w:rsidRPr="00434A1F" w:rsidRDefault="00B12D16" w:rsidP="00B12D16">
      <w:pPr>
        <w:rPr>
          <w:lang w:val="en-US"/>
        </w:rPr>
      </w:pPr>
    </w:p>
    <w:p w:rsidR="00B12D16" w:rsidRDefault="00B12D16" w:rsidP="00B12D16">
      <w:pPr>
        <w:spacing w:line="360" w:lineRule="auto"/>
        <w:rPr>
          <w:rFonts w:ascii="Arial Narrow" w:hAnsi="Arial Narrow"/>
          <w:b/>
          <w:sz w:val="22"/>
          <w:szCs w:val="22"/>
          <w:lang w:val="en-US"/>
        </w:rPr>
      </w:pPr>
      <w:r w:rsidRPr="001275C1">
        <w:rPr>
          <w:rFonts w:ascii="Arial Narrow" w:hAnsi="Arial Narrow"/>
          <w:b/>
          <w:sz w:val="22"/>
          <w:szCs w:val="22"/>
          <w:lang w:val="id-ID"/>
        </w:rPr>
        <w:t>Satuan Acara Perkuliahan (SAP)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540"/>
        <w:gridCol w:w="3240"/>
        <w:gridCol w:w="1980"/>
        <w:gridCol w:w="3420"/>
        <w:gridCol w:w="1260"/>
      </w:tblGrid>
      <w:tr w:rsidR="002B3C28" w:rsidTr="00A83EF2">
        <w:tc>
          <w:tcPr>
            <w:tcW w:w="540" w:type="dxa"/>
          </w:tcPr>
          <w:p w:rsidR="00A83EF2" w:rsidRDefault="00A83EF2" w:rsidP="00A83EF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Mg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Ke</w:t>
            </w:r>
            <w:proofErr w:type="spellEnd"/>
          </w:p>
        </w:tc>
        <w:tc>
          <w:tcPr>
            <w:tcW w:w="3240" w:type="dxa"/>
          </w:tcPr>
          <w:p w:rsidR="00A83EF2" w:rsidRDefault="00A83EF2" w:rsidP="00A83EF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0450C">
              <w:rPr>
                <w:rFonts w:ascii="Arial Narrow" w:hAnsi="Arial Narrow" w:cstheme="minorBidi"/>
                <w:b/>
                <w:lang w:val="id-ID"/>
              </w:rPr>
              <w:t>Tujuan Instruksional Khusus (TIK)</w:t>
            </w:r>
          </w:p>
        </w:tc>
        <w:tc>
          <w:tcPr>
            <w:tcW w:w="1980" w:type="dxa"/>
          </w:tcPr>
          <w:p w:rsidR="00A83EF2" w:rsidRDefault="00A83EF2" w:rsidP="00A83EF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0450C">
              <w:rPr>
                <w:rFonts w:ascii="Arial Narrow" w:hAnsi="Arial Narrow" w:cstheme="minorBidi"/>
                <w:b/>
                <w:lang w:val="id-ID"/>
              </w:rPr>
              <w:t>Topik</w:t>
            </w:r>
          </w:p>
        </w:tc>
        <w:tc>
          <w:tcPr>
            <w:tcW w:w="3420" w:type="dxa"/>
          </w:tcPr>
          <w:p w:rsidR="00A83EF2" w:rsidRDefault="00A83EF2" w:rsidP="00A83EF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0450C">
              <w:rPr>
                <w:rFonts w:ascii="Arial Narrow" w:hAnsi="Arial Narrow" w:cstheme="minorBidi"/>
                <w:b/>
                <w:lang w:val="id-ID"/>
              </w:rPr>
              <w:t>Sub-</w:t>
            </w:r>
            <w:proofErr w:type="spellStart"/>
            <w:r w:rsidRPr="00B0450C">
              <w:rPr>
                <w:rFonts w:ascii="Arial Narrow" w:hAnsi="Arial Narrow" w:cstheme="minorBidi"/>
                <w:b/>
                <w:lang w:val="en-US"/>
              </w:rPr>
              <w:t>Topik</w:t>
            </w:r>
            <w:proofErr w:type="spellEnd"/>
          </w:p>
        </w:tc>
        <w:tc>
          <w:tcPr>
            <w:tcW w:w="126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B0450C">
              <w:rPr>
                <w:rFonts w:ascii="Arial Narrow" w:hAnsi="Arial Narrow" w:cstheme="minorBidi"/>
                <w:b/>
                <w:lang w:val="id-ID"/>
              </w:rPr>
              <w:t>Kegiatan K/R/P/KM/T *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</w:t>
            </w:r>
            <w:r>
              <w:rPr>
                <w:rFonts w:ascii="Arial Narrow" w:hAnsi="Arial Narrow" w:cstheme="minorBidi"/>
                <w:lang w:val="en-US"/>
              </w:rPr>
              <w:t>ahasiswa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</w:t>
            </w:r>
            <w:r w:rsidRPr="00B0450C">
              <w:rPr>
                <w:rFonts w:ascii="Arial Narrow" w:hAnsi="Arial Narrow" w:cstheme="minorBidi"/>
                <w:lang w:val="en-US"/>
              </w:rPr>
              <w:t>ampu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pentingnya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pengembangan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pengaruh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globalisasi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elemen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dalam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pngembangan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</w:tc>
        <w:tc>
          <w:tcPr>
            <w:tcW w:w="1980" w:type="dxa"/>
          </w:tcPr>
          <w:p w:rsidR="00A83EF2" w:rsidRPr="00B0450C" w:rsidRDefault="00A83EF2" w:rsidP="00D7252E">
            <w:pPr>
              <w:spacing w:before="40"/>
              <w:ind w:left="88"/>
              <w:jc w:val="both"/>
              <w:rPr>
                <w:rFonts w:ascii="Arial Narrow" w:hAnsi="Arial Narrow" w:cstheme="minorBidi"/>
                <w:lang w:val="sv-SE"/>
              </w:rPr>
            </w:pPr>
            <w:r>
              <w:rPr>
                <w:rFonts w:ascii="Arial Narrow" w:hAnsi="Arial Narrow" w:cstheme="minorBidi"/>
                <w:lang w:val="sv-SE"/>
              </w:rPr>
              <w:t>Elemen Strategis Pengembangan Produk</w:t>
            </w:r>
          </w:p>
        </w:tc>
        <w:tc>
          <w:tcPr>
            <w:tcW w:w="3420" w:type="dxa"/>
          </w:tcPr>
          <w:p w:rsidR="00A83EF2" w:rsidRPr="00B0450C" w:rsidRDefault="00A83EF2" w:rsidP="00D7252E">
            <w:pPr>
              <w:pStyle w:val="ListParagraph"/>
              <w:numPr>
                <w:ilvl w:val="0"/>
                <w:numId w:val="2"/>
              </w:numPr>
              <w:spacing w:before="40"/>
              <w:ind w:left="368" w:hanging="284"/>
              <w:jc w:val="both"/>
              <w:rPr>
                <w:rFonts w:ascii="Arial Narrow" w:hAnsi="Arial Narrow" w:cstheme="minorBidi"/>
              </w:rPr>
            </w:pPr>
            <w:proofErr w:type="spellStart"/>
            <w:r>
              <w:rPr>
                <w:rFonts w:ascii="Arial Narrow" w:hAnsi="Arial Narrow" w:cstheme="minorBidi"/>
              </w:rPr>
              <w:t>Pentingnya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Produk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baru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2"/>
              </w:numPr>
              <w:spacing w:before="40"/>
              <w:ind w:left="368" w:hanging="284"/>
              <w:jc w:val="both"/>
              <w:rPr>
                <w:rFonts w:ascii="Arial Narrow" w:hAnsi="Arial Narrow" w:cstheme="minorBidi"/>
              </w:rPr>
            </w:pPr>
            <w:proofErr w:type="spellStart"/>
            <w:r>
              <w:rPr>
                <w:rFonts w:ascii="Arial Narrow" w:hAnsi="Arial Narrow" w:cstheme="minorBidi"/>
              </w:rPr>
              <w:t>Globalisasi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dan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pengembangan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Produk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baru</w:t>
            </w:r>
            <w:proofErr w:type="spellEnd"/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2"/>
              </w:numPr>
              <w:spacing w:before="40"/>
              <w:ind w:left="368" w:hanging="284"/>
              <w:jc w:val="both"/>
              <w:rPr>
                <w:rFonts w:ascii="Arial Narrow" w:hAnsi="Arial Narrow" w:cstheme="minorBidi"/>
              </w:rPr>
            </w:pPr>
            <w:proofErr w:type="spellStart"/>
            <w:r>
              <w:rPr>
                <w:rFonts w:ascii="Arial Narrow" w:hAnsi="Arial Narrow" w:cstheme="minorBidi"/>
              </w:rPr>
              <w:t>Elemen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Strategis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Pengembangan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Produk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</w:rPr>
              <w:t>baru</w:t>
            </w:r>
            <w:proofErr w:type="spellEnd"/>
          </w:p>
        </w:tc>
        <w:tc>
          <w:tcPr>
            <w:tcW w:w="1260" w:type="dxa"/>
          </w:tcPr>
          <w:p w:rsidR="00A83EF2" w:rsidRPr="00B0450C" w:rsidRDefault="00A83EF2" w:rsidP="00D7252E">
            <w:pPr>
              <w:spacing w:before="40"/>
              <w:jc w:val="both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 xml:space="preserve">P </w:t>
            </w:r>
            <w:proofErr w:type="spellStart"/>
            <w:r>
              <w:rPr>
                <w:rFonts w:ascii="Arial Narrow" w:hAnsi="Arial Narrow" w:cstheme="minorBidi"/>
              </w:rPr>
              <w:t>bab</w:t>
            </w:r>
            <w:proofErr w:type="spellEnd"/>
            <w:r>
              <w:rPr>
                <w:rFonts w:ascii="Arial Narrow" w:hAnsi="Arial Narrow" w:cstheme="minorBidi"/>
              </w:rPr>
              <w:t xml:space="preserve"> </w:t>
            </w:r>
            <w:r w:rsidRPr="00B0450C">
              <w:rPr>
                <w:rFonts w:ascii="Arial Narrow" w:hAnsi="Arial Narrow" w:cstheme="minorBidi"/>
              </w:rPr>
              <w:t>1</w:t>
            </w:r>
          </w:p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</w:t>
            </w:r>
            <w:r>
              <w:rPr>
                <w:rFonts w:ascii="Arial Narrow" w:hAnsi="Arial Narrow" w:cstheme="minorBidi"/>
                <w:lang w:val="en-US"/>
              </w:rPr>
              <w:t>ahasiswa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</w:t>
            </w:r>
            <w:r w:rsidRPr="00B0450C">
              <w:rPr>
                <w:rFonts w:ascii="Arial Narrow" w:hAnsi="Arial Narrow" w:cstheme="minorBidi"/>
                <w:lang w:val="en-US"/>
              </w:rPr>
              <w:t>ampu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r>
              <w:rPr>
                <w:rFonts w:ascii="Arial Narrow" w:hAnsi="Arial Narrow" w:cstheme="minorBidi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pengembangan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dari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prosesnya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evaluasi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hingga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memasuki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Mahasiswa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cara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mencari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peluang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memilih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dari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input </w:t>
            </w:r>
            <w:proofErr w:type="spellStart"/>
            <w:proofErr w:type="gramStart"/>
            <w:r>
              <w:rPr>
                <w:rFonts w:ascii="Arial Narrow" w:hAnsi="Arial Narrow" w:cstheme="minorBidi"/>
                <w:lang w:val="en-US"/>
              </w:rPr>
              <w:t>strategi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,</w:t>
            </w:r>
            <w:proofErr w:type="gram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membahas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charter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inovasi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hingga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menyiapkan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inovasi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menganalisis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portfolio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>.</w:t>
            </w:r>
          </w:p>
        </w:tc>
        <w:tc>
          <w:tcPr>
            <w:tcW w:w="198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Identifikasi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Seleksi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Perencanaan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</w:tc>
        <w:tc>
          <w:tcPr>
            <w:tcW w:w="3420" w:type="dxa"/>
          </w:tcPr>
          <w:p w:rsidR="00A83EF2" w:rsidRPr="00FC451B" w:rsidRDefault="00A83EF2" w:rsidP="00D7252E">
            <w:pPr>
              <w:pStyle w:val="ListParagraph"/>
              <w:numPr>
                <w:ilvl w:val="0"/>
                <w:numId w:val="3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Pengembangan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  <w:p w:rsidR="00A83EF2" w:rsidRPr="00FC451B" w:rsidRDefault="00A83EF2" w:rsidP="00D7252E">
            <w:pPr>
              <w:pStyle w:val="ListParagraph"/>
              <w:numPr>
                <w:ilvl w:val="0"/>
                <w:numId w:val="3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Memasuki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  <w:p w:rsidR="00A83EF2" w:rsidRPr="00FC451B" w:rsidRDefault="00A83EF2" w:rsidP="00D7252E">
            <w:pPr>
              <w:pStyle w:val="ListParagraph"/>
              <w:numPr>
                <w:ilvl w:val="0"/>
                <w:numId w:val="3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Identifikasi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peluang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Input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  <w:p w:rsidR="00A83EF2" w:rsidRPr="00FC451B" w:rsidRDefault="00A83EF2" w:rsidP="00D7252E">
            <w:pPr>
              <w:pStyle w:val="ListParagraph"/>
              <w:numPr>
                <w:ilvl w:val="0"/>
                <w:numId w:val="3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Charter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Inovasi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3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Portfolio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Kesesuaian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</w:tc>
        <w:tc>
          <w:tcPr>
            <w:tcW w:w="126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 Bab 2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3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manajemen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dalam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menggalakkan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kreativitas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menyiapkan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pentingnya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sumber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ide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</w:tc>
        <w:tc>
          <w:tcPr>
            <w:tcW w:w="1980" w:type="dxa"/>
          </w:tcPr>
          <w:p w:rsidR="00A83EF2" w:rsidRPr="00B0450C" w:rsidRDefault="003E7333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Kreativitas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="00A83EF2"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 w:rsidR="00A83EF2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="00A83EF2"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 w:rsidR="00A83EF2">
              <w:rPr>
                <w:rFonts w:ascii="Arial Narrow" w:hAnsi="Arial Narrow" w:cstheme="minorBidi"/>
                <w:lang w:val="en-US"/>
              </w:rPr>
              <w:t xml:space="preserve">. </w:t>
            </w:r>
          </w:p>
        </w:tc>
        <w:tc>
          <w:tcPr>
            <w:tcW w:w="3420" w:type="dxa"/>
          </w:tcPr>
          <w:p w:rsidR="00A83EF2" w:rsidRPr="00923A52" w:rsidRDefault="00A83EF2" w:rsidP="00D7252E">
            <w:pPr>
              <w:pStyle w:val="ListParagraph"/>
              <w:numPr>
                <w:ilvl w:val="0"/>
                <w:numId w:val="4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Setting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Persiapan</w:t>
            </w:r>
            <w:proofErr w:type="spellEnd"/>
          </w:p>
          <w:p w:rsidR="00A83EF2" w:rsidRPr="00923A52" w:rsidRDefault="00A83EF2" w:rsidP="00D7252E">
            <w:pPr>
              <w:pStyle w:val="ListParagraph"/>
              <w:numPr>
                <w:ilvl w:val="0"/>
                <w:numId w:val="4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</w:p>
          <w:p w:rsidR="00A83EF2" w:rsidRPr="00923A52" w:rsidRDefault="00A83EF2" w:rsidP="00D7252E">
            <w:pPr>
              <w:pStyle w:val="ListParagraph"/>
              <w:numPr>
                <w:ilvl w:val="0"/>
                <w:numId w:val="4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Pentingnya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sumber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 ide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yg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“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Ready made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>”</w:t>
            </w:r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4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Kasus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‘Aqua Fresh’</w:t>
            </w:r>
          </w:p>
        </w:tc>
        <w:tc>
          <w:tcPr>
            <w:tcW w:w="1260" w:type="dxa"/>
          </w:tcPr>
          <w:p w:rsidR="00A83EF2" w:rsidRPr="00923A52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bab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4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cara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mengumpulkan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informasi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masalah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yg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dihadapi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konsumen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berbagai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metode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pengumpulan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penyelesaian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masalah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Mahasiswa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alasan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pembelian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melakukan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gap.</w:t>
            </w:r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Menemukan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meneyeksaikan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masalah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Konsumen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Pendekatan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Atribut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: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Pengenalan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Pemetaan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Persepsi</w:t>
            </w:r>
            <w:proofErr w:type="spellEnd"/>
          </w:p>
        </w:tc>
        <w:tc>
          <w:tcPr>
            <w:tcW w:w="3420" w:type="dxa"/>
          </w:tcPr>
          <w:p w:rsidR="00A83EF2" w:rsidRPr="00923A52" w:rsidRDefault="00A83EF2" w:rsidP="00D7252E">
            <w:pPr>
              <w:pStyle w:val="ListParagraph"/>
              <w:numPr>
                <w:ilvl w:val="0"/>
                <w:numId w:val="5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Pengumpulan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internal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Pengumpulan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masalah</w:t>
            </w:r>
            <w:proofErr w:type="spellEnd"/>
          </w:p>
          <w:p w:rsidR="00A83EF2" w:rsidRPr="00923A52" w:rsidRDefault="00A83EF2" w:rsidP="00D7252E">
            <w:pPr>
              <w:pStyle w:val="ListParagraph"/>
              <w:numPr>
                <w:ilvl w:val="0"/>
                <w:numId w:val="5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Teknik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Pengumpulan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Penyelesaian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masalah</w:t>
            </w:r>
            <w:proofErr w:type="spellEnd"/>
          </w:p>
          <w:p w:rsidR="00A83EF2" w:rsidRPr="00923A52" w:rsidRDefault="00A83EF2" w:rsidP="00D7252E">
            <w:pPr>
              <w:pStyle w:val="ListParagraph"/>
              <w:numPr>
                <w:ilvl w:val="0"/>
                <w:numId w:val="5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Mengapa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Konsumen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Membeli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>?</w:t>
            </w:r>
          </w:p>
          <w:p w:rsidR="00A83EF2" w:rsidRPr="00923A52" w:rsidRDefault="00A83EF2" w:rsidP="00D7252E">
            <w:pPr>
              <w:pStyle w:val="ListParagraph"/>
              <w:numPr>
                <w:ilvl w:val="0"/>
                <w:numId w:val="5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Gap</w:t>
            </w:r>
          </w:p>
        </w:tc>
        <w:tc>
          <w:tcPr>
            <w:tcW w:w="1260" w:type="dxa"/>
          </w:tcPr>
          <w:p w:rsidR="00A83EF2" w:rsidRPr="00B0450C" w:rsidRDefault="00A83EF2" w:rsidP="00D7252E">
            <w:pPr>
              <w:jc w:val="center"/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 Bab 5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6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evaluasi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system 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Gap,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membuat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matriks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risiko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/payoff,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model ATAR.</w:t>
            </w:r>
          </w:p>
        </w:tc>
        <w:tc>
          <w:tcPr>
            <w:tcW w:w="1980" w:type="dxa"/>
          </w:tcPr>
          <w:p w:rsidR="00A83EF2" w:rsidRPr="007176B0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Pendekatan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Atribut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Sistem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Evaluasi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</w:p>
        </w:tc>
        <w:tc>
          <w:tcPr>
            <w:tcW w:w="3420" w:type="dxa"/>
          </w:tcPr>
          <w:p w:rsidR="00A83EF2" w:rsidRPr="007176B0" w:rsidRDefault="00A83EF2" w:rsidP="00D7252E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Alasan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Pembelian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Konsumen</w:t>
            </w:r>
            <w:proofErr w:type="spellEnd"/>
          </w:p>
          <w:p w:rsidR="00A83EF2" w:rsidRPr="007176B0" w:rsidRDefault="00A83EF2" w:rsidP="00D7252E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Gap</w:t>
            </w:r>
          </w:p>
          <w:p w:rsidR="00A83EF2" w:rsidRPr="007176B0" w:rsidRDefault="00A83EF2" w:rsidP="00D7252E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Proses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r>
              <w:rPr>
                <w:rFonts w:ascii="Arial Narrow" w:hAnsi="Arial Narrow" w:cstheme="minorBidi"/>
                <w:lang w:val="en-US"/>
              </w:rPr>
              <w:t>Model ATAR</w:t>
            </w:r>
          </w:p>
        </w:tc>
        <w:tc>
          <w:tcPr>
            <w:tcW w:w="1260" w:type="dxa"/>
          </w:tcPr>
          <w:p w:rsidR="00A83EF2" w:rsidRPr="00B0450C" w:rsidRDefault="00A83EF2" w:rsidP="00D7252E">
            <w:pPr>
              <w:jc w:val="center"/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bab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6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8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Mampu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memahami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melakukan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melakukan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peramalan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penjualan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bagi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dengan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menggunakan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intensi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membeli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model ATAR</w:t>
            </w:r>
          </w:p>
        </w:tc>
        <w:tc>
          <w:tcPr>
            <w:tcW w:w="1980" w:type="dxa"/>
          </w:tcPr>
          <w:p w:rsidR="00A83EF2" w:rsidRPr="007015C1" w:rsidRDefault="00A83EF2" w:rsidP="00D7252E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Konsep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Peramalan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penjualan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Keuangan</w:t>
            </w:r>
            <w:proofErr w:type="spellEnd"/>
          </w:p>
        </w:tc>
        <w:tc>
          <w:tcPr>
            <w:tcW w:w="3420" w:type="dxa"/>
          </w:tcPr>
          <w:p w:rsidR="00A83EF2" w:rsidRPr="007015C1" w:rsidRDefault="00A83EF2" w:rsidP="00D7252E">
            <w:pPr>
              <w:pStyle w:val="ListParagraph"/>
              <w:numPr>
                <w:ilvl w:val="0"/>
                <w:numId w:val="7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Pentingnya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Evaluasi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‘Up front </w:t>
            </w:r>
          </w:p>
          <w:p w:rsidR="00A83EF2" w:rsidRPr="007015C1" w:rsidRDefault="00A83EF2" w:rsidP="00D7252E">
            <w:pPr>
              <w:pStyle w:val="ListParagraph"/>
              <w:numPr>
                <w:ilvl w:val="0"/>
                <w:numId w:val="7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Analisis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  <w:p w:rsidR="00A83EF2" w:rsidRPr="007015C1" w:rsidRDefault="00A83EF2" w:rsidP="00D7252E">
            <w:pPr>
              <w:pStyle w:val="ListParagraph"/>
              <w:numPr>
                <w:ilvl w:val="0"/>
                <w:numId w:val="7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Peramalan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Penjualan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</w:p>
          <w:p w:rsidR="00A83EF2" w:rsidRPr="007015C1" w:rsidRDefault="00A83EF2" w:rsidP="00D7252E">
            <w:pPr>
              <w:pStyle w:val="ListParagraph"/>
              <w:numPr>
                <w:ilvl w:val="0"/>
                <w:numId w:val="7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Peramalan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Penjualan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dengan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model ATAR</w:t>
            </w:r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7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Teknik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Peramalan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Difusi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</w:p>
        </w:tc>
        <w:tc>
          <w:tcPr>
            <w:tcW w:w="1260" w:type="dxa"/>
          </w:tcPr>
          <w:p w:rsidR="00A83EF2" w:rsidRPr="00B0450C" w:rsidRDefault="00A83EF2" w:rsidP="00D7252E">
            <w:pPr>
              <w:jc w:val="center"/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t xml:space="preserve">P Bab 9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11</w:t>
            </w:r>
          </w:p>
        </w:tc>
      </w:tr>
      <w:tr w:rsidR="002B3C28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3240" w:type="dxa"/>
          </w:tcPr>
          <w:p w:rsidR="00A83EF2" w:rsidRPr="00B0450C" w:rsidRDefault="00A83EF2" w:rsidP="00D7252E">
            <w:pPr>
              <w:rPr>
                <w:rFonts w:ascii="Arial Narrow" w:hAnsi="Arial Narrow" w:cstheme="minorBidi"/>
                <w:lang w:val="id-ID"/>
              </w:rPr>
            </w:pPr>
            <w:r w:rsidRPr="00B0450C">
              <w:rPr>
                <w:rFonts w:ascii="Arial Narrow" w:hAnsi="Arial Narrow" w:cstheme="minorBidi"/>
                <w:lang w:val="id-ID"/>
              </w:rPr>
              <w:t>Mampu me</w:t>
            </w:r>
            <w:proofErr w:type="spellStart"/>
            <w:r w:rsidRPr="00B0450C">
              <w:rPr>
                <w:rFonts w:ascii="Arial Narrow" w:hAnsi="Arial Narrow" w:cstheme="minorBidi"/>
                <w:lang w:val="en-US"/>
              </w:rPr>
              <w:t>mahami</w:t>
            </w:r>
            <w:proofErr w:type="spellEnd"/>
            <w:r w:rsidRPr="00B0450C"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berbagai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tipe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keputusan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berhubungan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dengan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launching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keputusan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target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lastRenderedPageBreak/>
              <w:t>metode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metode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>.</w:t>
            </w:r>
          </w:p>
        </w:tc>
        <w:tc>
          <w:tcPr>
            <w:tcW w:w="1980" w:type="dxa"/>
          </w:tcPr>
          <w:p w:rsidR="00A83EF2" w:rsidRPr="00B0450C" w:rsidRDefault="00A83EF2" w:rsidP="00B922F8">
            <w:pPr>
              <w:rPr>
                <w:rFonts w:ascii="Arial Narrow" w:hAnsi="Arial Narrow" w:cstheme="minorBidi"/>
                <w:lang w:val="en-US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lastRenderedPageBreak/>
              <w:t>Perencanaan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Launching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</w:tc>
        <w:tc>
          <w:tcPr>
            <w:tcW w:w="3420" w:type="dxa"/>
          </w:tcPr>
          <w:p w:rsidR="00A83EF2" w:rsidRPr="00533910" w:rsidRDefault="00A83EF2" w:rsidP="00D7252E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Keputusan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Strategis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launching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Baru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Keputusan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Target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  <w:p w:rsidR="00A83EF2" w:rsidRPr="00533910" w:rsidRDefault="00A83EF2" w:rsidP="00D7252E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Posisioning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Produk</w:t>
            </w:r>
            <w:proofErr w:type="spellEnd"/>
          </w:p>
          <w:p w:rsidR="00A83EF2" w:rsidRPr="00533910" w:rsidRDefault="00A83EF2" w:rsidP="00D7252E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Pemerekan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Kemasan</w:t>
            </w:r>
            <w:proofErr w:type="spellEnd"/>
          </w:p>
          <w:p w:rsidR="00A83EF2" w:rsidRPr="00533910" w:rsidRDefault="00A83EF2" w:rsidP="00D7252E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lastRenderedPageBreak/>
              <w:t>Keputusan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  <w:p w:rsidR="00A83EF2" w:rsidRPr="00B0450C" w:rsidRDefault="00A83EF2" w:rsidP="00D7252E">
            <w:pPr>
              <w:pStyle w:val="ListParagraph"/>
              <w:numPr>
                <w:ilvl w:val="0"/>
                <w:numId w:val="8"/>
              </w:numPr>
              <w:ind w:left="368" w:hanging="284"/>
              <w:rPr>
                <w:rFonts w:ascii="Arial Narrow" w:hAnsi="Arial Narrow" w:cstheme="minorBidi"/>
                <w:lang w:val="id-ID"/>
              </w:rPr>
            </w:pPr>
            <w:proofErr w:type="spellStart"/>
            <w:r>
              <w:rPr>
                <w:rFonts w:ascii="Arial Narrow" w:hAnsi="Arial Narrow" w:cstheme="minorBidi"/>
                <w:lang w:val="en-US"/>
              </w:rPr>
              <w:t>Metode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pengetesan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pasar</w:t>
            </w:r>
            <w:proofErr w:type="spellEnd"/>
          </w:p>
        </w:tc>
        <w:tc>
          <w:tcPr>
            <w:tcW w:w="1260" w:type="dxa"/>
          </w:tcPr>
          <w:p w:rsidR="00A83EF2" w:rsidRPr="00B0450C" w:rsidRDefault="00A83EF2" w:rsidP="00D7252E">
            <w:pPr>
              <w:jc w:val="center"/>
              <w:rPr>
                <w:rFonts w:ascii="Arial Narrow" w:hAnsi="Arial Narrow" w:cstheme="minorBidi"/>
                <w:lang w:val="en-US"/>
              </w:rPr>
            </w:pPr>
            <w:r>
              <w:rPr>
                <w:rFonts w:ascii="Arial Narrow" w:hAnsi="Arial Narrow" w:cstheme="minorBidi"/>
                <w:lang w:val="en-US"/>
              </w:rPr>
              <w:lastRenderedPageBreak/>
              <w:t xml:space="preserve">P Bab 16 </w:t>
            </w:r>
            <w:proofErr w:type="spellStart"/>
            <w:r>
              <w:rPr>
                <w:rFonts w:ascii="Arial Narrow" w:hAnsi="Arial Narrow" w:cstheme="minorBidi"/>
                <w:lang w:val="en-US"/>
              </w:rPr>
              <w:t>dan</w:t>
            </w:r>
            <w:proofErr w:type="spellEnd"/>
            <w:r>
              <w:rPr>
                <w:rFonts w:ascii="Arial Narrow" w:hAnsi="Arial Narrow" w:cstheme="minorBidi"/>
                <w:lang w:val="en-US"/>
              </w:rPr>
              <w:t xml:space="preserve"> 18</w:t>
            </w:r>
          </w:p>
        </w:tc>
      </w:tr>
      <w:tr w:rsidR="00A83EF2" w:rsidTr="00A83EF2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9900" w:type="dxa"/>
            <w:gridSpan w:val="4"/>
          </w:tcPr>
          <w:p w:rsidR="00A83EF2" w:rsidRDefault="00A83EF2" w:rsidP="00A83EF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UTS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3240" w:type="dxa"/>
          </w:tcPr>
          <w:p w:rsidR="00A83EF2" w:rsidRPr="00B922F8" w:rsidRDefault="00B922F8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pentingnya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manajemen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konsumen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perusahaan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peluang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tantangan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apa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saja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yg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diberi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tantangan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peluang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pemerekan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</w:p>
        </w:tc>
        <w:tc>
          <w:tcPr>
            <w:tcW w:w="1980" w:type="dxa"/>
          </w:tcPr>
          <w:p w:rsidR="00A83EF2" w:rsidRPr="00B922F8" w:rsidRDefault="00B922F8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Manajemen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3420" w:type="dxa"/>
          </w:tcPr>
          <w:p w:rsidR="00A83EF2" w:rsidRPr="00B922F8" w:rsidRDefault="00B922F8" w:rsidP="00B922F8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 w:rsidRPr="00B922F8">
              <w:rPr>
                <w:rFonts w:ascii="Arial Narrow" w:hAnsi="Arial Narrow"/>
                <w:lang w:val="en-US"/>
              </w:rPr>
              <w:t>Pentingnya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Manajemen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B922F8" w:rsidRPr="00B922F8" w:rsidRDefault="00B922F8" w:rsidP="00B922F8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 w:rsidRPr="00B922F8">
              <w:rPr>
                <w:rFonts w:ascii="Arial Narrow" w:hAnsi="Arial Narrow"/>
                <w:lang w:val="en-US"/>
              </w:rPr>
              <w:t>Peluang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Tantangan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B922F8" w:rsidRPr="00B922F8" w:rsidRDefault="00B922F8" w:rsidP="00B922F8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 w:rsidRPr="00B922F8">
              <w:rPr>
                <w:rFonts w:ascii="Arial Narrow" w:hAnsi="Arial Narrow"/>
                <w:lang w:val="en-US"/>
              </w:rPr>
              <w:t>Konsep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Ekuitas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B922F8" w:rsidRPr="00B922F8" w:rsidRDefault="00B922F8" w:rsidP="00B922F8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Arial Narrow" w:hAnsi="Arial Narrow"/>
                <w:lang w:val="en-US"/>
              </w:rPr>
            </w:pPr>
            <w:r w:rsidRPr="00B922F8">
              <w:rPr>
                <w:rFonts w:ascii="Arial Narrow" w:hAnsi="Arial Narrow"/>
                <w:lang w:val="en-US"/>
              </w:rPr>
              <w:t xml:space="preserve">Proses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Manajemen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Pr="00B922F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922F8">
              <w:rPr>
                <w:rFonts w:ascii="Arial Narrow" w:hAnsi="Arial Narrow"/>
                <w:lang w:val="en-US"/>
              </w:rPr>
              <w:t>Strategis</w:t>
            </w:r>
            <w:proofErr w:type="spellEnd"/>
          </w:p>
        </w:tc>
        <w:tc>
          <w:tcPr>
            <w:tcW w:w="1260" w:type="dxa"/>
          </w:tcPr>
          <w:p w:rsidR="00A83EF2" w:rsidRPr="00B922F8" w:rsidRDefault="00B922F8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 w:rsidRPr="00B922F8">
              <w:rPr>
                <w:rFonts w:ascii="Arial Narrow" w:hAnsi="Arial Narrow"/>
                <w:lang w:val="en-US"/>
              </w:rPr>
              <w:t xml:space="preserve">M Bab 1 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3240" w:type="dxa"/>
          </w:tcPr>
          <w:p w:rsidR="00A83EF2" w:rsidRPr="00B922F8" w:rsidRDefault="002B3C28" w:rsidP="002B3C2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B3C28">
              <w:rPr>
                <w:rFonts w:ascii="Arial Narrow" w:hAnsi="Arial Narrow"/>
                <w:lang w:val="en-US"/>
              </w:rPr>
              <w:t>Mahasiswa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mampu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menjelaskan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konsep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Ekuitas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berbasis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konsumen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berbagai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sumber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menetapkan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posisi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menyebutkan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acuan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Memposisikan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1980" w:type="dxa"/>
          </w:tcPr>
          <w:p w:rsidR="00A83EF2" w:rsidRPr="00B922F8" w:rsidRDefault="00754F67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Memposisikan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Konsumen</w:t>
            </w:r>
            <w:proofErr w:type="spellEnd"/>
          </w:p>
        </w:tc>
        <w:tc>
          <w:tcPr>
            <w:tcW w:w="3420" w:type="dxa"/>
          </w:tcPr>
          <w:p w:rsidR="00A83EF2" w:rsidRDefault="002B3C28" w:rsidP="002B3C28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konsumen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Sumber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menetapkan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posisi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B3C28" w:rsidRPr="002B3C28" w:rsidRDefault="002B3C28" w:rsidP="002B3C28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Acuan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Memposisikan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1260" w:type="dxa"/>
          </w:tcPr>
          <w:p w:rsidR="00A83EF2" w:rsidRPr="00B922F8" w:rsidRDefault="00B97472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 Bab 2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3240" w:type="dxa"/>
          </w:tcPr>
          <w:p w:rsidR="00A83EF2" w:rsidRPr="00B922F8" w:rsidRDefault="002B3C28" w:rsidP="002B3C2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menyebutkan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berbagai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</w:t>
            </w:r>
            <w:r w:rsidRPr="002B3C28">
              <w:rPr>
                <w:rFonts w:ascii="Arial Narrow" w:hAnsi="Arial Narrow"/>
                <w:lang w:val="en-US"/>
              </w:rPr>
              <w:t>riteria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pemi</w:t>
            </w:r>
            <w:r w:rsidRPr="002B3C28">
              <w:rPr>
                <w:rFonts w:ascii="Arial Narrow" w:hAnsi="Arial Narrow"/>
                <w:lang w:val="en-US"/>
              </w:rPr>
              <w:t>lih</w:t>
            </w:r>
            <w:r>
              <w:rPr>
                <w:rFonts w:ascii="Arial Narrow" w:hAnsi="Arial Narrow"/>
                <w:lang w:val="en-US"/>
              </w:rPr>
              <w:t>an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elemen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B3C28"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berbagai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taktik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elemen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terintegrasi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menetapkan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berbagai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strategi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harga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saluran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terpilih</w:t>
            </w:r>
            <w:proofErr w:type="spellEnd"/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980" w:type="dxa"/>
          </w:tcPr>
          <w:p w:rsidR="00A83EF2" w:rsidRPr="00B922F8" w:rsidRDefault="00B97472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Memilih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Elemen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Mambangun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Mendesain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Membangun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</w:p>
        </w:tc>
        <w:tc>
          <w:tcPr>
            <w:tcW w:w="3420" w:type="dxa"/>
          </w:tcPr>
          <w:p w:rsidR="00A83EF2" w:rsidRDefault="002B3C28" w:rsidP="002B3C28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Kriteria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memilih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elemen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Taktik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elemen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terintegrasi</w:t>
            </w:r>
            <w:proofErr w:type="spellEnd"/>
          </w:p>
          <w:p w:rsidR="002B3C28" w:rsidRPr="002B3C28" w:rsidRDefault="002B3C28" w:rsidP="002B3C28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Strategi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Harga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Saluran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</w:p>
        </w:tc>
        <w:tc>
          <w:tcPr>
            <w:tcW w:w="1260" w:type="dxa"/>
          </w:tcPr>
          <w:p w:rsidR="00A83EF2" w:rsidRPr="00B922F8" w:rsidRDefault="00B97472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 Bab 4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5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3240" w:type="dxa"/>
          </w:tcPr>
          <w:p w:rsidR="002B3C28" w:rsidRDefault="002B3C28" w:rsidP="002B3C2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</w:t>
            </w:r>
            <w:r w:rsidRPr="002B3C28">
              <w:rPr>
                <w:rFonts w:ascii="Arial Narrow" w:hAnsi="Arial Narrow"/>
                <w:lang w:val="en-US"/>
              </w:rPr>
              <w:t>mpat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</w:t>
            </w:r>
            <w:r w:rsidRPr="002B3C28">
              <w:rPr>
                <w:rFonts w:ascii="Arial Narrow" w:hAnsi="Arial Narrow"/>
                <w:lang w:val="en-US"/>
              </w:rPr>
              <w:t>psi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</w:t>
            </w:r>
            <w:r w:rsidRPr="002B3C28">
              <w:rPr>
                <w:rFonts w:ascii="Arial Narrow" w:hAnsi="Arial Narrow"/>
                <w:lang w:val="en-US"/>
              </w:rPr>
              <w:t>omunikasi</w:t>
            </w:r>
            <w:proofErr w:type="spellEnd"/>
            <w:r w:rsidRP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</w:t>
            </w:r>
            <w:r w:rsidRPr="002B3C28">
              <w:rPr>
                <w:rFonts w:ascii="Arial Narrow" w:hAnsi="Arial Narrow"/>
                <w:lang w:val="en-US"/>
              </w:rPr>
              <w:t>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mengembangkan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lang w:val="en-US"/>
              </w:rPr>
              <w:t>komunikasi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terintegrasi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audit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menetapkan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mamajemen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A83EF2" w:rsidRPr="00B922F8" w:rsidRDefault="00A83EF2" w:rsidP="00B922F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80" w:type="dxa"/>
          </w:tcPr>
          <w:p w:rsidR="00A83EF2" w:rsidRPr="00B922F8" w:rsidRDefault="00B97472" w:rsidP="002B3C2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Mengintegrasikan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Komunikasi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pemasaran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untuk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membangun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ekuitas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dan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Mengemb</w:t>
            </w:r>
            <w:r w:rsidR="002B3C28">
              <w:rPr>
                <w:rFonts w:ascii="Arial Narrow" w:hAnsi="Arial Narrow"/>
                <w:lang w:val="en-US"/>
              </w:rPr>
              <w:t>angkan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Pengukuran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Ekuitas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B3C28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="002B3C28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3420" w:type="dxa"/>
          </w:tcPr>
          <w:p w:rsidR="00A83EF2" w:rsidRDefault="002B3C28" w:rsidP="002B3C28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Empat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Opsi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Komunikasi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Mengembangkan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lang w:val="en-US"/>
              </w:rPr>
              <w:t>Komunikasi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Terintegrasi</w:t>
            </w:r>
            <w:proofErr w:type="spellEnd"/>
          </w:p>
          <w:p w:rsidR="002B3C28" w:rsidRDefault="002B3C28" w:rsidP="002B3C28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Audit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B3C28" w:rsidRPr="002B3C28" w:rsidRDefault="002B3C28" w:rsidP="002B3C28">
            <w:pPr>
              <w:pStyle w:val="ListParagraph"/>
              <w:numPr>
                <w:ilvl w:val="0"/>
                <w:numId w:val="16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Manajemen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1260" w:type="dxa"/>
          </w:tcPr>
          <w:p w:rsidR="00A83EF2" w:rsidRPr="00B922F8" w:rsidRDefault="00B97472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 Bab 6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8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13</w:t>
            </w:r>
          </w:p>
        </w:tc>
        <w:tc>
          <w:tcPr>
            <w:tcW w:w="3240" w:type="dxa"/>
          </w:tcPr>
          <w:p w:rsidR="00A83EF2" w:rsidRPr="00B922F8" w:rsidRDefault="005E6416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mampu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kuantitatif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maupun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kualitatif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dalam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serta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komparatif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maupun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holisitik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dalam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hasil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1980" w:type="dxa"/>
          </w:tcPr>
          <w:p w:rsidR="00A83EF2" w:rsidRPr="00B922F8" w:rsidRDefault="002B3C28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Sumber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Hasil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Ekuitas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3420" w:type="dxa"/>
          </w:tcPr>
          <w:p w:rsidR="00A83EF2" w:rsidRDefault="005E6416" w:rsidP="002B3C28">
            <w:pPr>
              <w:pStyle w:val="ListParagraph"/>
              <w:numPr>
                <w:ilvl w:val="0"/>
                <w:numId w:val="17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Kualitatif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perilaku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konsumen</w:t>
            </w:r>
            <w:proofErr w:type="spellEnd"/>
          </w:p>
          <w:p w:rsidR="005E6416" w:rsidRDefault="005E6416" w:rsidP="002B3C28">
            <w:pPr>
              <w:pStyle w:val="ListParagraph"/>
              <w:numPr>
                <w:ilvl w:val="0"/>
                <w:numId w:val="17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Kuantitatif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mengukur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5E6416" w:rsidRDefault="005E6416" w:rsidP="002B3C28">
            <w:pPr>
              <w:pStyle w:val="ListParagraph"/>
              <w:numPr>
                <w:ilvl w:val="0"/>
                <w:numId w:val="17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Komparatif</w:t>
            </w:r>
            <w:proofErr w:type="spellEnd"/>
          </w:p>
          <w:p w:rsidR="005E6416" w:rsidRPr="002B3C28" w:rsidRDefault="005E6416" w:rsidP="002B3C28">
            <w:pPr>
              <w:pStyle w:val="ListParagraph"/>
              <w:numPr>
                <w:ilvl w:val="0"/>
                <w:numId w:val="17"/>
              </w:numPr>
              <w:ind w:left="162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Holistik</w:t>
            </w:r>
            <w:proofErr w:type="spellEnd"/>
          </w:p>
        </w:tc>
        <w:tc>
          <w:tcPr>
            <w:tcW w:w="1260" w:type="dxa"/>
          </w:tcPr>
          <w:p w:rsidR="00A83EF2" w:rsidRPr="00B922F8" w:rsidRDefault="005E6416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 Bab 9 </w:t>
            </w:r>
            <w:proofErr w:type="spellStart"/>
            <w:r>
              <w:rPr>
                <w:rFonts w:ascii="Arial Narrow" w:hAnsi="Arial Narrow"/>
                <w:lang w:val="en-US"/>
              </w:rPr>
              <w:t>danb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10</w:t>
            </w:r>
          </w:p>
        </w:tc>
      </w:tr>
      <w:tr w:rsidR="002B3C28" w:rsidTr="00A83EF2">
        <w:tc>
          <w:tcPr>
            <w:tcW w:w="540" w:type="dxa"/>
          </w:tcPr>
          <w:p w:rsidR="00A83EF2" w:rsidRPr="00B922F8" w:rsidRDefault="00A83EF2" w:rsidP="00B922F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922F8">
              <w:rPr>
                <w:rFonts w:ascii="Arial Narrow" w:hAnsi="Arial Narrow"/>
                <w:sz w:val="22"/>
                <w:szCs w:val="22"/>
                <w:lang w:val="en-US"/>
              </w:rPr>
              <w:t>14</w:t>
            </w:r>
          </w:p>
        </w:tc>
        <w:tc>
          <w:tcPr>
            <w:tcW w:w="3240" w:type="dxa"/>
          </w:tcPr>
          <w:p w:rsidR="00A83EF2" w:rsidRPr="00B922F8" w:rsidRDefault="005E6416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berbagai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cara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memperkuat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merevitalisasi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penyesuaian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portofolio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menyebutkan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berbagai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manfaat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pemasaran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global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dan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memahami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strategi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294442">
              <w:rPr>
                <w:rFonts w:ascii="Arial Narrow" w:hAnsi="Arial Narrow"/>
                <w:lang w:val="en-US"/>
              </w:rPr>
              <w:t>merek</w:t>
            </w:r>
            <w:proofErr w:type="spellEnd"/>
            <w:r w:rsidR="00294442">
              <w:rPr>
                <w:rFonts w:ascii="Arial Narrow" w:hAnsi="Arial Narrow"/>
                <w:lang w:val="en-US"/>
              </w:rPr>
              <w:t xml:space="preserve"> global</w:t>
            </w:r>
          </w:p>
        </w:tc>
        <w:tc>
          <w:tcPr>
            <w:tcW w:w="1980" w:type="dxa"/>
          </w:tcPr>
          <w:p w:rsidR="00A83EF2" w:rsidRPr="00B922F8" w:rsidRDefault="005E6416" w:rsidP="00B922F8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Mengelola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</w:tc>
        <w:tc>
          <w:tcPr>
            <w:tcW w:w="3420" w:type="dxa"/>
          </w:tcPr>
          <w:p w:rsidR="00A83EF2" w:rsidRDefault="005E6416" w:rsidP="005E6416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Memperkuat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revitalisasi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5E6416" w:rsidRDefault="005E6416" w:rsidP="005E6416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Portofolio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Merek</w:t>
            </w:r>
            <w:proofErr w:type="spellEnd"/>
          </w:p>
          <w:p w:rsidR="00294442" w:rsidRDefault="00294442" w:rsidP="005E6416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Manfaat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lang w:val="en-US"/>
              </w:rPr>
              <w:t>pemasaran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global</w:t>
            </w:r>
          </w:p>
          <w:p w:rsidR="00294442" w:rsidRPr="005E6416" w:rsidRDefault="00294442" w:rsidP="005E6416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Strategi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Pemerekan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Global</w:t>
            </w:r>
          </w:p>
        </w:tc>
        <w:tc>
          <w:tcPr>
            <w:tcW w:w="1260" w:type="dxa"/>
          </w:tcPr>
          <w:p w:rsidR="00A83EF2" w:rsidRPr="00B922F8" w:rsidRDefault="005E6416" w:rsidP="00B922F8">
            <w:pPr>
              <w:ind w:left="342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 Bab 13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14</w:t>
            </w:r>
          </w:p>
        </w:tc>
      </w:tr>
      <w:tr w:rsidR="00A83EF2" w:rsidTr="005D1939">
        <w:tc>
          <w:tcPr>
            <w:tcW w:w="540" w:type="dxa"/>
          </w:tcPr>
          <w:p w:rsidR="00A83EF2" w:rsidRDefault="00A83EF2" w:rsidP="00B12D1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9900" w:type="dxa"/>
            <w:gridSpan w:val="4"/>
          </w:tcPr>
          <w:p w:rsidR="00A83EF2" w:rsidRDefault="00A83EF2" w:rsidP="00A83EF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UAS</w:t>
            </w:r>
          </w:p>
        </w:tc>
      </w:tr>
    </w:tbl>
    <w:p w:rsidR="00866C6A" w:rsidRDefault="00866C6A" w:rsidP="00A83EF2">
      <w:pPr>
        <w:spacing w:line="360" w:lineRule="auto"/>
      </w:pPr>
    </w:p>
    <w:sectPr w:rsidR="00866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3D" w:rsidRDefault="00FA033D" w:rsidP="00123A15">
      <w:r>
        <w:separator/>
      </w:r>
    </w:p>
  </w:endnote>
  <w:endnote w:type="continuationSeparator" w:id="0">
    <w:p w:rsidR="00FA033D" w:rsidRDefault="00FA033D" w:rsidP="0012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5" w:rsidRDefault="00123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5" w:rsidRDefault="00123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5" w:rsidRDefault="00123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3D" w:rsidRDefault="00FA033D" w:rsidP="00123A15">
      <w:r>
        <w:separator/>
      </w:r>
    </w:p>
  </w:footnote>
  <w:footnote w:type="continuationSeparator" w:id="0">
    <w:p w:rsidR="00FA033D" w:rsidRDefault="00FA033D" w:rsidP="0012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5" w:rsidRDefault="00123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FA" w:rsidRPr="003B38FA" w:rsidRDefault="003B38FA" w:rsidP="003B38FA">
    <w:pPr>
      <w:tabs>
        <w:tab w:val="center" w:pos="4320"/>
        <w:tab w:val="right" w:pos="8640"/>
      </w:tabs>
      <w:ind w:left="6750" w:right="-450"/>
      <w:rPr>
        <w:rFonts w:ascii="Arial Narrow" w:hAnsi="Arial Narrow"/>
        <w:b/>
        <w:sz w:val="18"/>
        <w:szCs w:val="18"/>
        <w:lang w:val="en-US" w:eastAsia="x-none"/>
      </w:rPr>
    </w:pPr>
    <w:r w:rsidRPr="003B38FA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678235CF" wp14:editId="095730E7">
          <wp:simplePos x="0" y="0"/>
          <wp:positionH relativeFrom="column">
            <wp:posOffset>-337185</wp:posOffset>
          </wp:positionH>
          <wp:positionV relativeFrom="paragraph">
            <wp:posOffset>-166370</wp:posOffset>
          </wp:positionV>
          <wp:extent cx="1746885" cy="4762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8FA">
      <w:rPr>
        <w:rFonts w:ascii="Arial Narrow" w:hAnsi="Arial Narrow"/>
        <w:b/>
        <w:sz w:val="18"/>
        <w:szCs w:val="18"/>
        <w:lang w:val="en-US" w:eastAsia="x-none"/>
      </w:rPr>
      <w:t>S-1 MANAJEMEN</w:t>
    </w:r>
  </w:p>
  <w:p w:rsidR="003B38FA" w:rsidRPr="003B38FA" w:rsidRDefault="003B38FA" w:rsidP="003B38FA">
    <w:pPr>
      <w:tabs>
        <w:tab w:val="center" w:pos="4320"/>
        <w:tab w:val="right" w:pos="8640"/>
      </w:tabs>
      <w:ind w:left="6750" w:right="-450"/>
      <w:rPr>
        <w:rFonts w:ascii="Arial Narrow" w:hAnsi="Arial Narrow"/>
        <w:b/>
        <w:sz w:val="18"/>
        <w:szCs w:val="18"/>
        <w:lang w:val="en-US" w:eastAsia="x-none"/>
      </w:rPr>
    </w:pPr>
    <w:r w:rsidRPr="003B38FA">
      <w:rPr>
        <w:rFonts w:ascii="Arial Narrow" w:hAnsi="Arial Narrow"/>
        <w:b/>
        <w:sz w:val="18"/>
        <w:szCs w:val="18"/>
        <w:lang w:val="en-US" w:eastAsia="x-none"/>
      </w:rPr>
      <w:t>FR-TRILOGI-PSMNJ-033/R0</w:t>
    </w:r>
  </w:p>
  <w:p w:rsidR="003B38FA" w:rsidRPr="003B38FA" w:rsidRDefault="003B38FA" w:rsidP="003B38FA">
    <w:pPr>
      <w:tabs>
        <w:tab w:val="center" w:pos="4320"/>
        <w:tab w:val="right" w:pos="8640"/>
      </w:tabs>
      <w:ind w:left="6750" w:right="-450"/>
      <w:rPr>
        <w:rFonts w:ascii="Arial Narrow" w:hAnsi="Arial Narrow"/>
        <w:b/>
        <w:sz w:val="18"/>
        <w:szCs w:val="18"/>
        <w:lang w:val="x-none" w:eastAsia="x-none"/>
      </w:rPr>
    </w:pPr>
    <w:r w:rsidRPr="003B38FA">
      <w:rPr>
        <w:rFonts w:ascii="Arial Narrow" w:hAnsi="Arial Narrow"/>
        <w:b/>
        <w:sz w:val="18"/>
        <w:szCs w:val="18"/>
        <w:lang w:val="en-US" w:eastAsia="x-none"/>
      </w:rPr>
      <w:t>EDISI01</w:t>
    </w:r>
  </w:p>
  <w:p w:rsidR="00123A15" w:rsidRPr="00123A15" w:rsidRDefault="00123A15" w:rsidP="00123A15">
    <w:pPr>
      <w:tabs>
        <w:tab w:val="center" w:pos="4153"/>
        <w:tab w:val="right" w:pos="8306"/>
      </w:tabs>
      <w:rPr>
        <w:lang w:eastAsia="x-none"/>
      </w:rPr>
    </w:pPr>
    <w:bookmarkStart w:id="0" w:name="_GoBack"/>
    <w:bookmarkEnd w:id="0"/>
    <w:r w:rsidRPr="00123A15">
      <w:rPr>
        <w:lang w:eastAsia="x-none"/>
      </w:rPr>
      <w:t xml:space="preserve">        </w:t>
    </w:r>
  </w:p>
  <w:p w:rsidR="00123A15" w:rsidRPr="00123A15" w:rsidRDefault="00123A15" w:rsidP="00123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5" w:rsidRDefault="00123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22"/>
    <w:multiLevelType w:val="hybridMultilevel"/>
    <w:tmpl w:val="9324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216A"/>
    <w:multiLevelType w:val="hybridMultilevel"/>
    <w:tmpl w:val="0CD22EEE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0E7B3C4D"/>
    <w:multiLevelType w:val="hybridMultilevel"/>
    <w:tmpl w:val="47E464EE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1126066C"/>
    <w:multiLevelType w:val="hybridMultilevel"/>
    <w:tmpl w:val="FDA8D590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221361F6"/>
    <w:multiLevelType w:val="hybridMultilevel"/>
    <w:tmpl w:val="A254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5F3E"/>
    <w:multiLevelType w:val="hybridMultilevel"/>
    <w:tmpl w:val="1CF2DB64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EC23EDF"/>
    <w:multiLevelType w:val="hybridMultilevel"/>
    <w:tmpl w:val="53CAFBD4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4F7D2166"/>
    <w:multiLevelType w:val="hybridMultilevel"/>
    <w:tmpl w:val="9D3EDA0E"/>
    <w:lvl w:ilvl="0" w:tplc="16B0D7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44489"/>
    <w:multiLevelType w:val="hybridMultilevel"/>
    <w:tmpl w:val="001C6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BB2"/>
    <w:multiLevelType w:val="hybridMultilevel"/>
    <w:tmpl w:val="C64E3EE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522649F6"/>
    <w:multiLevelType w:val="hybridMultilevel"/>
    <w:tmpl w:val="C0C6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761A"/>
    <w:multiLevelType w:val="hybridMultilevel"/>
    <w:tmpl w:val="2B34B6A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674762BF"/>
    <w:multiLevelType w:val="hybridMultilevel"/>
    <w:tmpl w:val="3C085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33987"/>
    <w:multiLevelType w:val="hybridMultilevel"/>
    <w:tmpl w:val="4048601E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6AA213C8"/>
    <w:multiLevelType w:val="hybridMultilevel"/>
    <w:tmpl w:val="1F16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17963"/>
    <w:multiLevelType w:val="hybridMultilevel"/>
    <w:tmpl w:val="CF1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19BB"/>
    <w:multiLevelType w:val="hybridMultilevel"/>
    <w:tmpl w:val="99D60C2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D7E14D6"/>
    <w:multiLevelType w:val="hybridMultilevel"/>
    <w:tmpl w:val="FF8A1DA0"/>
    <w:lvl w:ilvl="0" w:tplc="0409000F">
      <w:start w:val="1"/>
      <w:numFmt w:val="decimal"/>
      <w:lvlText w:val="%1."/>
      <w:lvlJc w:val="left"/>
      <w:pPr>
        <w:ind w:left="974" w:hanging="360"/>
      </w:p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16"/>
    <w:rsid w:val="00123A15"/>
    <w:rsid w:val="00294442"/>
    <w:rsid w:val="002B3C28"/>
    <w:rsid w:val="003425F0"/>
    <w:rsid w:val="003B38FA"/>
    <w:rsid w:val="003E7333"/>
    <w:rsid w:val="00533910"/>
    <w:rsid w:val="005E6416"/>
    <w:rsid w:val="00607F28"/>
    <w:rsid w:val="007015C1"/>
    <w:rsid w:val="007176B0"/>
    <w:rsid w:val="00754F67"/>
    <w:rsid w:val="00866C6A"/>
    <w:rsid w:val="00901D53"/>
    <w:rsid w:val="00923A52"/>
    <w:rsid w:val="00A83EF2"/>
    <w:rsid w:val="00B12D16"/>
    <w:rsid w:val="00B922F8"/>
    <w:rsid w:val="00B97472"/>
    <w:rsid w:val="00CD7C9F"/>
    <w:rsid w:val="00E636D4"/>
    <w:rsid w:val="00FA033D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D16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2D1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15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D16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2D1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15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AcerM1610</dc:creator>
  <cp:lastModifiedBy>user</cp:lastModifiedBy>
  <cp:revision>4</cp:revision>
  <dcterms:created xsi:type="dcterms:W3CDTF">2016-03-09T08:36:00Z</dcterms:created>
  <dcterms:modified xsi:type="dcterms:W3CDTF">2018-03-12T01:30:00Z</dcterms:modified>
</cp:coreProperties>
</file>