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725"/>
        <w:gridCol w:w="458"/>
        <w:gridCol w:w="267"/>
        <w:gridCol w:w="725"/>
        <w:gridCol w:w="2460"/>
        <w:gridCol w:w="2220"/>
      </w:tblGrid>
      <w:tr w:rsidR="003E7617" w:rsidRPr="00E46BAA" w:rsidTr="003E7617">
        <w:trPr>
          <w:tblHeader/>
          <w:jc w:val="center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7617" w:rsidRPr="002C57E2" w:rsidRDefault="003E7617" w:rsidP="00120A53">
            <w:pPr>
              <w:rPr>
                <w:rFonts w:ascii="Arial Narrow" w:hAnsi="Arial Narrow"/>
                <w:b/>
                <w:lang w:val="id-ID"/>
              </w:rPr>
            </w:pPr>
            <w:r w:rsidRPr="002C57E2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2C57E2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5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2C57E2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2C57E2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 w:rsidRPr="002C57E2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3E7617" w:rsidRPr="002C57E2" w:rsidTr="003E7617">
        <w:trPr>
          <w:trHeight w:val="1745"/>
          <w:jc w:val="center"/>
        </w:trPr>
        <w:tc>
          <w:tcPr>
            <w:tcW w:w="725" w:type="dxa"/>
            <w:tcBorders>
              <w:bottom w:val="nil"/>
            </w:tcBorders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 w:rsidRPr="002C57E2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3E7617" w:rsidRPr="00C55337" w:rsidRDefault="003E7617" w:rsidP="00120A5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55337">
              <w:rPr>
                <w:rFonts w:ascii="Arial Narrow" w:hAnsi="Arial Narrow"/>
                <w:b/>
                <w:sz w:val="20"/>
                <w:szCs w:val="20"/>
              </w:rPr>
              <w:t>Peran</w:t>
            </w:r>
            <w:proofErr w:type="spellEnd"/>
            <w:r w:rsidRPr="00C553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b/>
                <w:sz w:val="20"/>
                <w:szCs w:val="20"/>
              </w:rPr>
              <w:t>Akuntan</w:t>
            </w:r>
            <w:proofErr w:type="spellEnd"/>
            <w:r w:rsidRPr="00C553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b/>
                <w:sz w:val="20"/>
                <w:szCs w:val="20"/>
              </w:rPr>
              <w:t>dalam</w:t>
            </w:r>
            <w:proofErr w:type="spellEnd"/>
            <w:r w:rsidRPr="00C553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b/>
                <w:sz w:val="20"/>
                <w:szCs w:val="20"/>
              </w:rPr>
              <w:t>organisasi</w:t>
            </w:r>
            <w:proofErr w:type="spellEnd"/>
            <w:r w:rsidRPr="00C553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bottom w:val="nil"/>
            </w:tcBorders>
          </w:tcPr>
          <w:p w:rsidR="003E7617" w:rsidRPr="00C55337" w:rsidRDefault="003E7617" w:rsidP="003E7617">
            <w:pPr>
              <w:pStyle w:val="Default"/>
              <w:numPr>
                <w:ilvl w:val="0"/>
                <w:numId w:val="5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Hubungan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keuangan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manajemen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7617" w:rsidRPr="00C55337" w:rsidRDefault="003E7617" w:rsidP="003E7617">
            <w:pPr>
              <w:pStyle w:val="Default"/>
              <w:numPr>
                <w:ilvl w:val="0"/>
                <w:numId w:val="5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Peran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akuntan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implementasi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strategi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7617" w:rsidRPr="000629E8" w:rsidRDefault="003E7617" w:rsidP="00120A5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220" w:type="dxa"/>
          </w:tcPr>
          <w:p w:rsidR="003E7617" w:rsidRPr="005E7091" w:rsidRDefault="003E7617" w:rsidP="00120A53">
            <w:pPr>
              <w:tabs>
                <w:tab w:val="left" w:pos="180"/>
              </w:tabs>
              <w:rPr>
                <w:rFonts w:ascii="Arial Narrow" w:hAnsi="Arial Narrow"/>
                <w:lang w:val="id-ID"/>
              </w:rPr>
            </w:pPr>
            <w:r w:rsidRPr="002C57E2">
              <w:rPr>
                <w:rFonts w:ascii="Arial Narrow" w:hAnsi="Arial Narrow"/>
                <w:lang w:val="da-DK"/>
              </w:rPr>
              <w:t xml:space="preserve">Mahasiswa mampu memahami </w:t>
            </w:r>
            <w:r>
              <w:rPr>
                <w:rFonts w:ascii="Arial Narrow" w:hAnsi="Arial Narrow"/>
                <w:lang w:val="id-ID"/>
              </w:rPr>
              <w:t xml:space="preserve">hubungan dan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perbedaan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akuntansi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keuangan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akuntansi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biaya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faktor-faktor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mempengaruhi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akuntansi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biaya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 xml:space="preserve">peran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manajemen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di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6BAA">
              <w:rPr>
                <w:rFonts w:ascii="Arial Narrow" w:hAnsi="Arial Narrow"/>
                <w:lang w:val="en-US"/>
              </w:rPr>
              <w:t>perusahaan</w:t>
            </w:r>
            <w:proofErr w:type="spellEnd"/>
            <w:r w:rsidRPr="00E46BAA">
              <w:rPr>
                <w:rFonts w:ascii="Arial Narrow" w:hAnsi="Arial Narrow"/>
                <w:lang w:val="en-US"/>
              </w:rPr>
              <w:t>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 w:rsidRPr="002C57E2"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1183" w:type="dxa"/>
            <w:gridSpan w:val="2"/>
          </w:tcPr>
          <w:p w:rsidR="003E7617" w:rsidRPr="00D27404" w:rsidRDefault="003E7617" w:rsidP="00120A53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Konsep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Dasar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Biaya</w:t>
            </w:r>
            <w:proofErr w:type="spellEnd"/>
          </w:p>
        </w:tc>
        <w:tc>
          <w:tcPr>
            <w:tcW w:w="3452" w:type="dxa"/>
            <w:gridSpan w:val="3"/>
          </w:tcPr>
          <w:p w:rsidR="003E7617" w:rsidRPr="00C5533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Definisi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objek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7617" w:rsidRPr="00C5533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 w:rsidRPr="00C55337">
              <w:rPr>
                <w:rFonts w:ascii="Arial Narrow" w:hAnsi="Arial Narrow"/>
                <w:sz w:val="20"/>
                <w:szCs w:val="20"/>
              </w:rPr>
              <w:t xml:space="preserve">Beda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langsung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langsung</w:t>
            </w:r>
            <w:proofErr w:type="spellEnd"/>
          </w:p>
          <w:p w:rsidR="003E7617" w:rsidRPr="00C5533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tetap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variabel</w:t>
            </w:r>
            <w:proofErr w:type="spellEnd"/>
          </w:p>
          <w:p w:rsidR="003E7617" w:rsidRPr="00C5533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5337">
              <w:rPr>
                <w:rFonts w:ascii="Arial Narrow" w:hAnsi="Arial Narrow"/>
                <w:i/>
                <w:iCs/>
                <w:sz w:val="20"/>
                <w:szCs w:val="20"/>
              </w:rPr>
              <w:t>Inventoriable</w:t>
            </w:r>
            <w:proofErr w:type="spellEnd"/>
            <w:r w:rsidRPr="00C5533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cost </w:t>
            </w:r>
            <w:r w:rsidRPr="00C55337"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 w:rsidRPr="00C55337">
              <w:rPr>
                <w:rFonts w:ascii="Arial Narrow" w:hAnsi="Arial Narrow"/>
                <w:i/>
                <w:iCs/>
                <w:sz w:val="20"/>
                <w:szCs w:val="20"/>
              </w:rPr>
              <w:t>period cost</w:t>
            </w:r>
          </w:p>
          <w:p w:rsidR="003E7617" w:rsidRPr="00C5533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 w:rsidRPr="00C55337">
              <w:rPr>
                <w:rFonts w:ascii="Arial Narrow" w:hAnsi="Arial Narrow"/>
                <w:sz w:val="20"/>
                <w:szCs w:val="20"/>
              </w:rPr>
              <w:t xml:space="preserve">Beda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berbeda</w:t>
            </w:r>
            <w:proofErr w:type="spellEnd"/>
          </w:p>
          <w:p w:rsidR="003E761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Rerangka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C55337">
              <w:rPr>
                <w:rFonts w:ascii="Arial Narrow" w:hAnsi="Arial Narrow"/>
                <w:sz w:val="20"/>
                <w:szCs w:val="20"/>
              </w:rPr>
              <w:t>manajemen</w:t>
            </w:r>
            <w:proofErr w:type="spellEnd"/>
            <w:r w:rsidRPr="00C553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7617" w:rsidRPr="00C5533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Bentuk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produksi</w:t>
            </w:r>
            <w:proofErr w:type="spellEnd"/>
          </w:p>
          <w:p w:rsidR="003E7617" w:rsidRPr="002C57E2" w:rsidRDefault="003E7617" w:rsidP="00120A5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220" w:type="dxa"/>
          </w:tcPr>
          <w:p w:rsidR="003E7617" w:rsidRPr="00A02C9B" w:rsidRDefault="003E7617" w:rsidP="00120A53">
            <w:pPr>
              <w:rPr>
                <w:rFonts w:ascii="Arial Narrow" w:hAnsi="Arial Narrow"/>
                <w:lang w:val="en-US"/>
              </w:rPr>
            </w:pPr>
            <w:r w:rsidRPr="00026C48">
              <w:rPr>
                <w:rFonts w:ascii="Arial Narrow" w:hAnsi="Arial Narrow" w:cs="Arial Narrow"/>
                <w:lang w:val="id-ID"/>
              </w:rPr>
              <w:t xml:space="preserve">Mahasiswa mampu memahami konsep dasar akuntansi biaya, pengklasifikasian biaya yang digunakan sebagai dasar penentuan harga pokok produk, serta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membuat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026C48">
              <w:rPr>
                <w:rFonts w:ascii="Arial Narrow" w:hAnsi="Arial Narrow" w:cs="Arial Narrow"/>
                <w:lang w:val="id-ID"/>
              </w:rPr>
              <w:t xml:space="preserve">Laporan Harga Pokok Produksi dengan metode absorption costing,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 w:rsidRPr="00026C48">
              <w:rPr>
                <w:rFonts w:ascii="Arial Narrow" w:hAnsi="Arial Narrow" w:cs="Arial Narrow"/>
                <w:lang w:val="id-ID"/>
              </w:rPr>
              <w:t xml:space="preserve"> Laporan Harga Pokok</w:t>
            </w:r>
            <w:r w:rsidRPr="00026C48">
              <w:rPr>
                <w:rFonts w:ascii="Arial Narrow" w:hAnsi="Arial Narrow"/>
                <w:lang w:val="id-ID"/>
              </w:rPr>
              <w:t xml:space="preserve"> Penjualan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3E7617" w:rsidRPr="00E46BAA" w:rsidTr="003E7617">
        <w:trPr>
          <w:jc w:val="center"/>
        </w:trPr>
        <w:tc>
          <w:tcPr>
            <w:tcW w:w="725" w:type="dxa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 w:rsidRPr="002C57E2"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3E7617" w:rsidRPr="00D27404" w:rsidRDefault="003E7617" w:rsidP="00120A53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Perilaku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Biaya</w:t>
            </w:r>
            <w:proofErr w:type="spellEnd"/>
          </w:p>
        </w:tc>
        <w:tc>
          <w:tcPr>
            <w:tcW w:w="3452" w:type="dxa"/>
            <w:gridSpan w:val="3"/>
          </w:tcPr>
          <w:p w:rsidR="003E7617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Fungsi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</w:p>
          <w:p w:rsidR="003E7617" w:rsidRPr="004C2E55" w:rsidRDefault="003E7617" w:rsidP="003E7617">
            <w:pPr>
              <w:pStyle w:val="Default"/>
              <w:numPr>
                <w:ilvl w:val="0"/>
                <w:numId w:val="6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estimasi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analisis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kuantitatif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4C2E55">
              <w:rPr>
                <w:rFonts w:ascii="Arial Narrow" w:hAnsi="Arial Narrow"/>
                <w:i/>
                <w:sz w:val="20"/>
                <w:szCs w:val="20"/>
              </w:rPr>
              <w:t>high-low method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20" w:type="dxa"/>
          </w:tcPr>
          <w:p w:rsidR="003E7617" w:rsidRPr="002C57E2" w:rsidRDefault="003E7617" w:rsidP="00120A53">
            <w:pPr>
              <w:rPr>
                <w:rFonts w:ascii="Arial Narrow" w:hAnsi="Arial Narrow"/>
                <w:lang w:val="id-ID"/>
              </w:rPr>
            </w:pPr>
            <w:r w:rsidRPr="00E9615C">
              <w:rPr>
                <w:rFonts w:ascii="Arial Narrow" w:hAnsi="Arial Narrow" w:cs="Arial Narrow"/>
                <w:lang w:val="id-ID"/>
              </w:rPr>
              <w:t>Mahasiswa mampu memahami konsep biaya tetap, biaya variabel dan biaya campuran, bagaimana memisahkan biaya campuran dengan metode High-Low, serta bagaimana keterlibatan manajemen dalam menentukan perilaku biaya.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 w:rsidRPr="002C57E2"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  <w:r w:rsidRPr="00AC16C4">
              <w:rPr>
                <w:rFonts w:ascii="Arial Narrow" w:hAnsi="Arial Narrow"/>
                <w:b/>
                <w:i/>
                <w:lang w:val="id-ID"/>
              </w:rPr>
              <w:t>Activity-Based Costing</w:t>
            </w:r>
          </w:p>
        </w:tc>
        <w:tc>
          <w:tcPr>
            <w:tcW w:w="3452" w:type="dxa"/>
            <w:gridSpan w:val="3"/>
          </w:tcPr>
          <w:p w:rsidR="003E7617" w:rsidRPr="00091315" w:rsidRDefault="003E7617" w:rsidP="003E7617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 w:rsidRPr="00091315">
              <w:rPr>
                <w:rFonts w:ascii="Arial Narrow" w:hAnsi="Arial Narrow"/>
                <w:sz w:val="20"/>
                <w:szCs w:val="20"/>
                <w:lang w:val="id-ID"/>
              </w:rPr>
              <w:t>Akuntansi Tradisional</w:t>
            </w:r>
          </w:p>
          <w:p w:rsidR="003E7617" w:rsidRPr="00091315" w:rsidRDefault="003E7617" w:rsidP="003E7617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>Undercosting</w:t>
            </w:r>
            <w:proofErr w:type="spellEnd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>overcosting</w:t>
            </w:r>
            <w:proofErr w:type="spellEnd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:rsidR="003E7617" w:rsidRPr="00091315" w:rsidRDefault="003E7617" w:rsidP="003E7617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Tahap-tahap</w:t>
            </w:r>
            <w:proofErr w:type="spellEnd"/>
            <w:r w:rsidRPr="000913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implementasi</w:t>
            </w:r>
            <w:proofErr w:type="spellEnd"/>
            <w:r w:rsidRPr="0009131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ABC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id-ID"/>
              </w:rPr>
              <w:t xml:space="preserve"> system</w:t>
            </w:r>
          </w:p>
          <w:p w:rsidR="003E7617" w:rsidRPr="00091315" w:rsidRDefault="003E7617" w:rsidP="003E7617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Pengggunaan</w:t>
            </w:r>
            <w:proofErr w:type="spellEnd"/>
            <w:r w:rsidRPr="000913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ABC system </w:t>
            </w: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091315">
              <w:rPr>
                <w:sz w:val="22"/>
                <w:szCs w:val="22"/>
              </w:rPr>
              <w:t xml:space="preserve"> </w:t>
            </w:r>
            <w:r w:rsidRPr="00091315">
              <w:rPr>
                <w:rFonts w:ascii="Arial Narrow" w:hAnsi="Arial Narrow"/>
                <w:sz w:val="20"/>
                <w:szCs w:val="20"/>
                <w:lang w:val="id-ID"/>
              </w:rPr>
              <w:t>manajemen biaya dan peningkatan kemampulabaan.</w:t>
            </w:r>
          </w:p>
        </w:tc>
        <w:tc>
          <w:tcPr>
            <w:tcW w:w="2220" w:type="dxa"/>
          </w:tcPr>
          <w:p w:rsidR="003E7617" w:rsidRPr="002C57E2" w:rsidRDefault="003E7617" w:rsidP="00120A53">
            <w:pPr>
              <w:ind w:left="-3"/>
              <w:rPr>
                <w:rFonts w:ascii="Arial Narrow" w:hAnsi="Arial Narrow"/>
                <w:lang w:val="id-ID"/>
              </w:rPr>
            </w:pPr>
            <w:r w:rsidRPr="00E9615C">
              <w:rPr>
                <w:rFonts w:ascii="Arial Narrow" w:hAnsi="Arial Narrow" w:cs="Arial Narrow"/>
                <w:lang w:val="id-ID"/>
              </w:rPr>
              <w:t xml:space="preserve">Mahasiswa mampu memahami konsep dasar ABC dan perbedaannya dengan akuntansi tradisional,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E9615C">
              <w:rPr>
                <w:rFonts w:ascii="Arial Narrow" w:hAnsi="Arial Narrow" w:cs="Arial Narrow"/>
                <w:lang w:val="id-ID"/>
              </w:rPr>
              <w:t xml:space="preserve">penghitungan biaya per unit,  </w:t>
            </w:r>
            <w:r w:rsidRPr="00A02C9B">
              <w:rPr>
                <w:rFonts w:ascii="Arial Narrow" w:hAnsi="Arial Narrow" w:cs="Arial Narrow"/>
                <w:i/>
                <w:lang w:val="id-ID"/>
              </w:rPr>
              <w:t>undercosting</w:t>
            </w:r>
            <w:r>
              <w:rPr>
                <w:rFonts w:ascii="Arial Narrow" w:hAnsi="Arial Narrow" w:cs="Arial Narrow"/>
                <w:lang w:val="id-ID"/>
              </w:rPr>
              <w:t xml:space="preserve"> vs </w:t>
            </w:r>
            <w:r w:rsidRPr="00A02C9B">
              <w:rPr>
                <w:rFonts w:ascii="Arial Narrow" w:hAnsi="Arial Narrow" w:cs="Arial Narrow"/>
                <w:i/>
                <w:lang w:val="id-ID"/>
              </w:rPr>
              <w:t>overcosting</w:t>
            </w:r>
            <w:r>
              <w:rPr>
                <w:rFonts w:ascii="Arial Narrow" w:hAnsi="Arial Narrow" w:cs="Arial Narrow"/>
                <w:lang w:val="id-ID"/>
              </w:rPr>
              <w:t>, serta menerapkan sitem ABC.</w:t>
            </w:r>
          </w:p>
        </w:tc>
      </w:tr>
      <w:tr w:rsidR="003E7617" w:rsidRPr="002C57E2" w:rsidTr="003E7617">
        <w:trPr>
          <w:trHeight w:val="1232"/>
          <w:jc w:val="center"/>
        </w:trPr>
        <w:tc>
          <w:tcPr>
            <w:tcW w:w="725" w:type="dxa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  <w:r w:rsidRPr="00AC16C4">
              <w:rPr>
                <w:rFonts w:ascii="Arial Narrow" w:hAnsi="Arial Narrow"/>
                <w:b/>
                <w:i/>
                <w:lang w:val="id-ID"/>
              </w:rPr>
              <w:t>Activity-Based Costing</w:t>
            </w:r>
          </w:p>
        </w:tc>
        <w:tc>
          <w:tcPr>
            <w:tcW w:w="3452" w:type="dxa"/>
            <w:gridSpan w:val="3"/>
          </w:tcPr>
          <w:p w:rsidR="003E7617" w:rsidRPr="00091315" w:rsidRDefault="003E7617" w:rsidP="00120A53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 w:rsidRPr="00091315">
              <w:rPr>
                <w:rFonts w:ascii="Arial Narrow" w:hAnsi="Arial Narrow"/>
                <w:sz w:val="20"/>
                <w:szCs w:val="20"/>
                <w:lang w:val="id-ID"/>
              </w:rPr>
              <w:t>Akuntansi Tradisional</w:t>
            </w:r>
          </w:p>
          <w:p w:rsidR="003E7617" w:rsidRPr="00091315" w:rsidRDefault="003E7617" w:rsidP="00120A53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>Undercosting</w:t>
            </w:r>
            <w:proofErr w:type="spellEnd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>overcosting</w:t>
            </w:r>
            <w:proofErr w:type="spellEnd"/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:rsidR="003E7617" w:rsidRPr="00091315" w:rsidRDefault="003E7617" w:rsidP="00120A53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Tahap-tahap</w:t>
            </w:r>
            <w:proofErr w:type="spellEnd"/>
            <w:r w:rsidRPr="000913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implementasi</w:t>
            </w:r>
            <w:proofErr w:type="spellEnd"/>
            <w:r w:rsidRPr="0009131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ABC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id-ID"/>
              </w:rPr>
              <w:t xml:space="preserve"> system</w:t>
            </w:r>
          </w:p>
          <w:p w:rsidR="003E7617" w:rsidRPr="00091315" w:rsidRDefault="003E7617" w:rsidP="00120A53">
            <w:pPr>
              <w:pStyle w:val="Default"/>
              <w:numPr>
                <w:ilvl w:val="0"/>
                <w:numId w:val="7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Pengggunaan</w:t>
            </w:r>
            <w:proofErr w:type="spellEnd"/>
            <w:r w:rsidRPr="000913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131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ABC system </w:t>
            </w:r>
            <w:proofErr w:type="spellStart"/>
            <w:r w:rsidRPr="00091315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091315">
              <w:rPr>
                <w:sz w:val="22"/>
                <w:szCs w:val="22"/>
              </w:rPr>
              <w:t xml:space="preserve"> </w:t>
            </w:r>
            <w:r w:rsidRPr="00091315">
              <w:rPr>
                <w:rFonts w:ascii="Arial Narrow" w:hAnsi="Arial Narrow"/>
                <w:sz w:val="20"/>
                <w:szCs w:val="20"/>
                <w:lang w:val="id-ID"/>
              </w:rPr>
              <w:t>manajemen biaya dan peningkatan kemampulabaan.</w:t>
            </w:r>
          </w:p>
        </w:tc>
        <w:tc>
          <w:tcPr>
            <w:tcW w:w="2220" w:type="dxa"/>
          </w:tcPr>
          <w:p w:rsidR="003E7617" w:rsidRPr="002C57E2" w:rsidRDefault="003E7617" w:rsidP="00120A53">
            <w:pPr>
              <w:ind w:left="-3"/>
              <w:rPr>
                <w:rFonts w:ascii="Arial Narrow" w:hAnsi="Arial Narrow"/>
                <w:lang w:val="id-ID"/>
              </w:rPr>
            </w:pPr>
            <w:r w:rsidRPr="00E9615C">
              <w:rPr>
                <w:rFonts w:ascii="Arial Narrow" w:hAnsi="Arial Narrow" w:cs="Arial Narrow"/>
                <w:lang w:val="id-ID"/>
              </w:rPr>
              <w:t xml:space="preserve">Mahasiswa mampu memahami konsep dasar ABC dan perbedaannya dengan akuntansi tradisional,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E9615C">
              <w:rPr>
                <w:rFonts w:ascii="Arial Narrow" w:hAnsi="Arial Narrow" w:cs="Arial Narrow"/>
                <w:lang w:val="id-ID"/>
              </w:rPr>
              <w:t xml:space="preserve">penghitungan biaya per unit,  </w:t>
            </w:r>
            <w:r w:rsidRPr="00A02C9B">
              <w:rPr>
                <w:rFonts w:ascii="Arial Narrow" w:hAnsi="Arial Narrow" w:cs="Arial Narrow"/>
                <w:i/>
                <w:lang w:val="id-ID"/>
              </w:rPr>
              <w:t>undercosting</w:t>
            </w:r>
            <w:r>
              <w:rPr>
                <w:rFonts w:ascii="Arial Narrow" w:hAnsi="Arial Narrow" w:cs="Arial Narrow"/>
                <w:lang w:val="id-ID"/>
              </w:rPr>
              <w:t xml:space="preserve"> vs </w:t>
            </w:r>
            <w:r w:rsidRPr="00A02C9B">
              <w:rPr>
                <w:rFonts w:ascii="Arial Narrow" w:hAnsi="Arial Narrow" w:cs="Arial Narrow"/>
                <w:i/>
                <w:lang w:val="id-ID"/>
              </w:rPr>
              <w:t>overcosting</w:t>
            </w:r>
            <w:r>
              <w:rPr>
                <w:rFonts w:ascii="Arial Narrow" w:hAnsi="Arial Narrow" w:cs="Arial Narrow"/>
                <w:lang w:val="id-ID"/>
              </w:rPr>
              <w:t>, serta menerapkan sitem ABC.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  <w:r w:rsidRPr="00AC16C4">
              <w:rPr>
                <w:rFonts w:ascii="Arial Narrow" w:hAnsi="Arial Narrow"/>
                <w:b/>
                <w:i/>
                <w:lang w:val="id-ID"/>
              </w:rPr>
              <w:t>Job Order Costing</w:t>
            </w:r>
          </w:p>
        </w:tc>
        <w:tc>
          <w:tcPr>
            <w:tcW w:w="3452" w:type="dxa"/>
            <w:gridSpan w:val="3"/>
          </w:tcPr>
          <w:p w:rsidR="003E7617" w:rsidRPr="001F6074" w:rsidRDefault="003E7617" w:rsidP="003E7617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Konsep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</w:p>
          <w:p w:rsidR="003E7617" w:rsidRPr="00E46BAA" w:rsidRDefault="003E7617" w:rsidP="003E7617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 xml:space="preserve">Beda metode penentuan biaya pesanan dengan metode biaya proses </w:t>
            </w:r>
          </w:p>
          <w:p w:rsidR="003E7617" w:rsidRPr="00E46BAA" w:rsidRDefault="003E7617" w:rsidP="003E7617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Penggunaan pembiayaan normal dalam metode biaya pesanan </w:t>
            </w:r>
          </w:p>
          <w:p w:rsidR="003E7617" w:rsidRPr="00E46BAA" w:rsidRDefault="003E7617" w:rsidP="003E7617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Ber</w:t>
            </w: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bagai </w:t>
            </w:r>
            <w:r w:rsidRPr="00E46BAA">
              <w:rPr>
                <w:rFonts w:ascii="Arial Narrow" w:hAnsi="Arial Narrow"/>
                <w:i/>
                <w:iCs/>
                <w:sz w:val="20"/>
                <w:szCs w:val="20"/>
                <w:lang w:val="sv-SE"/>
              </w:rPr>
              <w:t xml:space="preserve">driver </w:t>
            </w: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dalam mengalokasikan biaya overhead </w:t>
            </w:r>
          </w:p>
        </w:tc>
        <w:tc>
          <w:tcPr>
            <w:tcW w:w="2220" w:type="dxa"/>
          </w:tcPr>
          <w:p w:rsidR="003E7617" w:rsidRPr="002C57E2" w:rsidRDefault="003E7617" w:rsidP="00120A53">
            <w:pPr>
              <w:ind w:left="-3"/>
              <w:rPr>
                <w:rFonts w:ascii="Arial Narrow" w:hAnsi="Arial Narrow"/>
                <w:lang w:val="id-ID"/>
              </w:rPr>
            </w:pPr>
            <w:r w:rsidRPr="009C6792">
              <w:rPr>
                <w:rFonts w:ascii="Arial Narrow" w:hAnsi="Arial Narrow" w:cs="Arial Narrow"/>
                <w:lang w:val="id-ID"/>
              </w:rPr>
              <w:lastRenderedPageBreak/>
              <w:t>Mahasisw</w:t>
            </w:r>
            <w:r w:rsidRPr="009C6792">
              <w:rPr>
                <w:rFonts w:ascii="Arial Narrow" w:hAnsi="Arial Narrow"/>
                <w:lang w:val="id-ID"/>
              </w:rPr>
              <w:t xml:space="preserve">a mampu menghitung harga pokok </w:t>
            </w:r>
            <w:r w:rsidRPr="009C6792">
              <w:rPr>
                <w:rFonts w:ascii="Arial Narrow" w:hAnsi="Arial Narrow"/>
                <w:lang w:val="id-ID"/>
              </w:rPr>
              <w:lastRenderedPageBreak/>
              <w:t>pesanan dan pencatatan akuntansinya.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7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  <w:r w:rsidRPr="00AC16C4">
              <w:rPr>
                <w:rFonts w:ascii="Arial Narrow" w:hAnsi="Arial Narrow"/>
                <w:b/>
                <w:i/>
                <w:lang w:val="id-ID"/>
              </w:rPr>
              <w:t>Job Order Costing</w:t>
            </w:r>
          </w:p>
        </w:tc>
        <w:tc>
          <w:tcPr>
            <w:tcW w:w="3452" w:type="dxa"/>
            <w:gridSpan w:val="3"/>
          </w:tcPr>
          <w:p w:rsidR="003E7617" w:rsidRPr="001F6074" w:rsidRDefault="003E7617" w:rsidP="00120A53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Konsep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1F607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F6074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</w:p>
          <w:p w:rsidR="003E7617" w:rsidRPr="00E46BAA" w:rsidRDefault="003E7617" w:rsidP="00120A53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Beda metode penentuan biaya pesanan dengan metode biaya proses </w:t>
            </w:r>
          </w:p>
          <w:p w:rsidR="003E7617" w:rsidRPr="00E46BAA" w:rsidRDefault="003E7617" w:rsidP="00120A53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Penggunaan pembiayaan normal dalam metode biaya pesanan </w:t>
            </w:r>
          </w:p>
          <w:p w:rsidR="003E7617" w:rsidRPr="00E46BAA" w:rsidRDefault="003E7617" w:rsidP="00120A53">
            <w:pPr>
              <w:pStyle w:val="Default"/>
              <w:numPr>
                <w:ilvl w:val="0"/>
                <w:numId w:val="1"/>
              </w:numPr>
              <w:ind w:left="273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Ber</w:t>
            </w: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bagai </w:t>
            </w:r>
            <w:r w:rsidRPr="00E46BAA">
              <w:rPr>
                <w:rFonts w:ascii="Arial Narrow" w:hAnsi="Arial Narrow"/>
                <w:i/>
                <w:iCs/>
                <w:sz w:val="20"/>
                <w:szCs w:val="20"/>
                <w:lang w:val="sv-SE"/>
              </w:rPr>
              <w:t xml:space="preserve">driver </w:t>
            </w: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 xml:space="preserve">dalam mengalokasikan biaya overhead </w:t>
            </w:r>
          </w:p>
        </w:tc>
        <w:tc>
          <w:tcPr>
            <w:tcW w:w="2220" w:type="dxa"/>
          </w:tcPr>
          <w:p w:rsidR="003E7617" w:rsidRPr="002C57E2" w:rsidRDefault="003E7617" w:rsidP="00120A53">
            <w:pPr>
              <w:ind w:left="-3"/>
              <w:rPr>
                <w:rFonts w:ascii="Arial Narrow" w:hAnsi="Arial Narrow"/>
                <w:lang w:val="id-ID"/>
              </w:rPr>
            </w:pPr>
            <w:r w:rsidRPr="009C6792">
              <w:rPr>
                <w:rFonts w:ascii="Arial Narrow" w:hAnsi="Arial Narrow" w:cs="Arial Narrow"/>
                <w:lang w:val="id-ID"/>
              </w:rPr>
              <w:t>Mahasisw</w:t>
            </w:r>
            <w:r w:rsidRPr="009C6792">
              <w:rPr>
                <w:rFonts w:ascii="Arial Narrow" w:hAnsi="Arial Narrow"/>
                <w:lang w:val="id-ID"/>
              </w:rPr>
              <w:t>a mampu menghitung harga pokok pesanan dan pencatatan akuntansinya.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</w:p>
        </w:tc>
        <w:tc>
          <w:tcPr>
            <w:tcW w:w="3452" w:type="dxa"/>
            <w:gridSpan w:val="3"/>
          </w:tcPr>
          <w:p w:rsidR="003E7617" w:rsidRDefault="003E7617" w:rsidP="00120A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3E7617" w:rsidRPr="009C6792" w:rsidRDefault="003E7617" w:rsidP="00120A53">
            <w:pPr>
              <w:ind w:left="-3"/>
              <w:rPr>
                <w:rFonts w:ascii="Arial Narrow" w:hAnsi="Arial Narrow" w:cs="Arial Narrow"/>
                <w:b/>
                <w:lang w:val="en-US"/>
              </w:rPr>
            </w:pPr>
            <w:r w:rsidRPr="009C6792">
              <w:rPr>
                <w:rFonts w:ascii="Arial Narrow" w:hAnsi="Arial Narrow" w:cs="Arial Narrow"/>
                <w:b/>
                <w:lang w:val="en-US"/>
              </w:rPr>
              <w:t>UTS</w:t>
            </w:r>
          </w:p>
        </w:tc>
      </w:tr>
      <w:tr w:rsidR="003E7617" w:rsidRPr="00E46BAA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  <w:r w:rsidRPr="00AC16C4">
              <w:rPr>
                <w:rFonts w:ascii="Arial Narrow" w:hAnsi="Arial Narrow"/>
                <w:b/>
                <w:i/>
                <w:lang w:val="id-ID"/>
              </w:rPr>
              <w:t>Process Costing</w:t>
            </w:r>
          </w:p>
        </w:tc>
        <w:tc>
          <w:tcPr>
            <w:tcW w:w="3452" w:type="dxa"/>
            <w:gridSpan w:val="3"/>
          </w:tcPr>
          <w:p w:rsidR="003E7617" w:rsidRPr="00420DFA" w:rsidRDefault="003E7617" w:rsidP="003E7617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Kondisi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penerapan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proses </w:t>
            </w:r>
          </w:p>
          <w:p w:rsidR="003E7617" w:rsidRPr="00420DFA" w:rsidRDefault="003E7617" w:rsidP="003E7617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20DFA">
                  <w:rPr>
                    <w:rFonts w:ascii="Arial Narrow" w:hAnsi="Arial Narrow"/>
                    <w:sz w:val="20"/>
                    <w:szCs w:val="20"/>
                  </w:rPr>
                  <w:t>Lima</w:t>
                </w:r>
              </w:smartTag>
            </w:smartTag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langkah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penerapan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proses </w:t>
            </w:r>
          </w:p>
          <w:p w:rsidR="003E7617" w:rsidRPr="005E7091" w:rsidRDefault="003E7617" w:rsidP="003E7617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Metode FIFO dalam penyusunan laporan biaya produksi</w:t>
            </w:r>
          </w:p>
          <w:p w:rsidR="003E7617" w:rsidRPr="00420DFA" w:rsidRDefault="003E7617" w:rsidP="003E7617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Metode Average dalam penyusunan laporan biaya produksi</w:t>
            </w:r>
          </w:p>
          <w:p w:rsidR="003E7617" w:rsidRPr="00420DFA" w:rsidRDefault="003E7617" w:rsidP="00120A5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0" w:type="dxa"/>
          </w:tcPr>
          <w:p w:rsidR="003E7617" w:rsidRPr="00A02C9B" w:rsidRDefault="003E7617" w:rsidP="00120A53">
            <w:pPr>
              <w:rPr>
                <w:rFonts w:ascii="Arial Narrow" w:hAnsi="Arial Narrow" w:cs="Arial"/>
                <w:lang w:val="en-US"/>
              </w:rPr>
            </w:pPr>
            <w:r w:rsidRPr="009C6792">
              <w:rPr>
                <w:rFonts w:ascii="Arial Narrow" w:hAnsi="Arial Narrow" w:cs="Arial Narrow"/>
                <w:lang w:val="id-ID"/>
              </w:rPr>
              <w:t xml:space="preserve">Mahasiswa mampu memahami karakteristik dasar harga pokok proses,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 w:cs="Arial Narrow"/>
                <w:lang w:val="id-ID"/>
              </w:rPr>
              <w:t>penghitungan harga pokok produksi dengan menggunakan metode FIFO dan metode rata2</w:t>
            </w:r>
            <w:r>
              <w:rPr>
                <w:rFonts w:ascii="Arial Narrow" w:hAnsi="Arial Narrow" w:cs="Arial Narrow"/>
                <w:lang w:val="en-US"/>
              </w:rPr>
              <w:t xml:space="preserve"> (average).</w:t>
            </w:r>
          </w:p>
        </w:tc>
      </w:tr>
      <w:tr w:rsidR="003E7617" w:rsidRPr="00E46BAA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183" w:type="dxa"/>
            <w:gridSpan w:val="2"/>
          </w:tcPr>
          <w:p w:rsidR="003E7617" w:rsidRPr="00AC16C4" w:rsidRDefault="003E7617" w:rsidP="00120A53">
            <w:pPr>
              <w:rPr>
                <w:rFonts w:ascii="Arial Narrow" w:hAnsi="Arial Narrow"/>
                <w:b/>
                <w:i/>
                <w:lang w:val="id-ID"/>
              </w:rPr>
            </w:pPr>
            <w:r w:rsidRPr="00AC16C4">
              <w:rPr>
                <w:rFonts w:ascii="Arial Narrow" w:hAnsi="Arial Narrow"/>
                <w:b/>
                <w:i/>
                <w:lang w:val="id-ID"/>
              </w:rPr>
              <w:t>Process Costing</w:t>
            </w:r>
          </w:p>
        </w:tc>
        <w:tc>
          <w:tcPr>
            <w:tcW w:w="3452" w:type="dxa"/>
            <w:gridSpan w:val="3"/>
          </w:tcPr>
          <w:p w:rsidR="003E7617" w:rsidRPr="00420DFA" w:rsidRDefault="003E7617" w:rsidP="00120A53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Kondisi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penerapan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proses </w:t>
            </w:r>
          </w:p>
          <w:p w:rsidR="003E7617" w:rsidRPr="00420DFA" w:rsidRDefault="003E7617" w:rsidP="00120A53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20DFA">
                  <w:rPr>
                    <w:rFonts w:ascii="Arial Narrow" w:hAnsi="Arial Narrow"/>
                    <w:sz w:val="20"/>
                    <w:szCs w:val="20"/>
                  </w:rPr>
                  <w:t>Lima</w:t>
                </w:r>
              </w:smartTag>
            </w:smartTag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langkah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penerapan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proses </w:t>
            </w:r>
          </w:p>
          <w:p w:rsidR="003E7617" w:rsidRPr="005E7091" w:rsidRDefault="003E7617" w:rsidP="00120A53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Metode FIFO dalam penyusunan laporan biaya produksi</w:t>
            </w:r>
          </w:p>
          <w:p w:rsidR="003E7617" w:rsidRPr="00420DFA" w:rsidRDefault="003E7617" w:rsidP="00120A53">
            <w:pPr>
              <w:pStyle w:val="Default"/>
              <w:numPr>
                <w:ilvl w:val="0"/>
                <w:numId w:val="2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Metode Average dalam penyusunan laporan biaya produksi</w:t>
            </w:r>
          </w:p>
          <w:p w:rsidR="003E7617" w:rsidRPr="00420DFA" w:rsidRDefault="003E7617" w:rsidP="00120A5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0" w:type="dxa"/>
          </w:tcPr>
          <w:p w:rsidR="003E7617" w:rsidRPr="00A02C9B" w:rsidRDefault="003E7617" w:rsidP="00120A53">
            <w:pPr>
              <w:rPr>
                <w:rFonts w:ascii="Arial Narrow" w:hAnsi="Arial Narrow" w:cs="Arial"/>
                <w:lang w:val="en-US"/>
              </w:rPr>
            </w:pPr>
            <w:r w:rsidRPr="009C6792">
              <w:rPr>
                <w:rFonts w:ascii="Arial Narrow" w:hAnsi="Arial Narrow" w:cs="Arial Narrow"/>
                <w:lang w:val="id-ID"/>
              </w:rPr>
              <w:t xml:space="preserve">Mahasiswa mampu memahami karakteristik dasar harga pokok proses,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 w:cs="Arial Narrow"/>
                <w:lang w:val="id-ID"/>
              </w:rPr>
              <w:t>penghitungan harga pokok produksi dengan menggunakan metode FIFO dan metode rata2</w:t>
            </w:r>
            <w:r>
              <w:rPr>
                <w:rFonts w:ascii="Arial Narrow" w:hAnsi="Arial Narrow" w:cs="Arial Narrow"/>
                <w:lang w:val="en-US"/>
              </w:rPr>
              <w:t xml:space="preserve"> (average).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1183" w:type="dxa"/>
            <w:gridSpan w:val="2"/>
          </w:tcPr>
          <w:p w:rsidR="003E7617" w:rsidRPr="00392AC1" w:rsidRDefault="003E7617" w:rsidP="00120A5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92A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Spoilage, Rework, &amp; Scrap </w:t>
            </w:r>
          </w:p>
          <w:p w:rsidR="003E7617" w:rsidRPr="00392AC1" w:rsidRDefault="003E7617" w:rsidP="00120A53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452" w:type="dxa"/>
            <w:gridSpan w:val="3"/>
          </w:tcPr>
          <w:p w:rsidR="003E7617" w:rsidRDefault="003E7617" w:rsidP="003E7617">
            <w:pPr>
              <w:pStyle w:val="Default"/>
              <w:numPr>
                <w:ilvl w:val="0"/>
                <w:numId w:val="11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Definisi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7617" w:rsidRDefault="003E7617" w:rsidP="003E7617">
            <w:pPr>
              <w:pStyle w:val="Default"/>
              <w:numPr>
                <w:ilvl w:val="0"/>
                <w:numId w:val="11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Jenis-jenis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spoilage </w:t>
            </w:r>
          </w:p>
          <w:p w:rsidR="003E7617" w:rsidRPr="00392AC1" w:rsidRDefault="003E7617" w:rsidP="003E7617">
            <w:pPr>
              <w:pStyle w:val="Default"/>
              <w:numPr>
                <w:ilvl w:val="0"/>
                <w:numId w:val="11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Si</w:t>
            </w:r>
            <w:r w:rsidRPr="00392AC1">
              <w:rPr>
                <w:rFonts w:ascii="Arial Narrow" w:hAnsi="Arial Narrow"/>
                <w:sz w:val="20"/>
                <w:szCs w:val="20"/>
              </w:rPr>
              <w:t>stem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proses </w:t>
            </w: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2AC1">
              <w:rPr>
                <w:rFonts w:ascii="Arial Narrow" w:hAnsi="Arial Narrow"/>
                <w:i/>
                <w:iCs/>
                <w:sz w:val="20"/>
                <w:szCs w:val="20"/>
              </w:rPr>
              <w:t>spoilage</w:t>
            </w:r>
          </w:p>
          <w:p w:rsidR="003E7617" w:rsidRPr="00392AC1" w:rsidRDefault="003E7617" w:rsidP="003E7617">
            <w:pPr>
              <w:pStyle w:val="Default"/>
              <w:numPr>
                <w:ilvl w:val="0"/>
                <w:numId w:val="11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Metode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pesanan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2A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spoilage </w:t>
            </w:r>
          </w:p>
          <w:p w:rsidR="003E7617" w:rsidRPr="00392AC1" w:rsidRDefault="003E7617" w:rsidP="003E7617">
            <w:pPr>
              <w:pStyle w:val="Default"/>
              <w:numPr>
                <w:ilvl w:val="0"/>
                <w:numId w:val="11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92AC1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392A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2A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scrap </w:t>
            </w:r>
          </w:p>
        </w:tc>
        <w:tc>
          <w:tcPr>
            <w:tcW w:w="2220" w:type="dxa"/>
          </w:tcPr>
          <w:p w:rsidR="003E7617" w:rsidRPr="007B5A5A" w:rsidRDefault="003E7617" w:rsidP="00120A53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jenis-jenis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7B5A5A">
              <w:rPr>
                <w:rFonts w:ascii="Arial Narrow" w:hAnsi="Arial Narrow"/>
                <w:i/>
                <w:lang w:val="en-US"/>
              </w:rPr>
              <w:t>spoilage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membedakannya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7B5A5A">
              <w:rPr>
                <w:rFonts w:ascii="Arial Narrow" w:hAnsi="Arial Narrow"/>
                <w:i/>
                <w:lang w:val="en-US"/>
              </w:rPr>
              <w:t>rework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7B5A5A">
              <w:rPr>
                <w:rFonts w:ascii="Arial Narrow" w:hAnsi="Arial Narrow"/>
                <w:i/>
                <w:lang w:val="en-US"/>
              </w:rPr>
              <w:t>scrap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serta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penghitungan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7B5A5A">
              <w:rPr>
                <w:rFonts w:ascii="Arial Narrow" w:hAnsi="Arial Narrow"/>
                <w:i/>
                <w:lang w:val="en-US"/>
              </w:rPr>
              <w:t>spoilage</w:t>
            </w:r>
            <w:r>
              <w:rPr>
                <w:rFonts w:ascii="Arial Narrow" w:hAnsi="Arial Narrow"/>
                <w:lang w:val="en-US"/>
              </w:rPr>
              <w:t xml:space="preserve">, </w:t>
            </w:r>
            <w:r>
              <w:rPr>
                <w:rFonts w:ascii="Arial Narrow" w:hAnsi="Arial Narrow"/>
                <w:i/>
                <w:lang w:val="en-US"/>
              </w:rPr>
              <w:t xml:space="preserve">rework,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lang w:val="en-US"/>
              </w:rPr>
              <w:t>scrap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7B5A5A">
              <w:rPr>
                <w:rFonts w:ascii="Arial Narrow" w:hAnsi="Arial Narrow"/>
                <w:i/>
                <w:lang w:val="en-US"/>
              </w:rPr>
              <w:t>process costing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maupun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7B5A5A">
              <w:rPr>
                <w:rFonts w:ascii="Arial Narrow" w:hAnsi="Arial Narrow"/>
                <w:i/>
                <w:lang w:val="en-US"/>
              </w:rPr>
              <w:t>job costing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1183" w:type="dxa"/>
            <w:gridSpan w:val="2"/>
          </w:tcPr>
          <w:p w:rsidR="003E7617" w:rsidRPr="00295A13" w:rsidRDefault="003E7617" w:rsidP="00120A53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295A13">
              <w:rPr>
                <w:rFonts w:ascii="Arial Narrow" w:hAnsi="Arial Narrow"/>
                <w:b/>
                <w:lang w:val="en-US"/>
              </w:rPr>
              <w:t>Alokasi</w:t>
            </w:r>
            <w:proofErr w:type="spellEnd"/>
            <w:r w:rsidRPr="00295A13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295A13">
              <w:rPr>
                <w:rFonts w:ascii="Arial Narrow" w:hAnsi="Arial Narrow"/>
                <w:b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Departemen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Pendukung</w:t>
            </w:r>
            <w:proofErr w:type="spellEnd"/>
          </w:p>
        </w:tc>
        <w:tc>
          <w:tcPr>
            <w:tcW w:w="3452" w:type="dxa"/>
            <w:gridSpan w:val="3"/>
          </w:tcPr>
          <w:p w:rsidR="003E7617" w:rsidRPr="00420DFA" w:rsidRDefault="003E7617" w:rsidP="003E7617">
            <w:pPr>
              <w:pStyle w:val="Default"/>
              <w:numPr>
                <w:ilvl w:val="0"/>
                <w:numId w:val="3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k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riteria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keputusan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alokasi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</w:p>
          <w:p w:rsidR="003E7617" w:rsidRDefault="003E7617" w:rsidP="003E7617">
            <w:pPr>
              <w:pStyle w:val="Default"/>
              <w:numPr>
                <w:ilvl w:val="0"/>
                <w:numId w:val="3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Alokasi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Departemen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Pendukung</w:t>
            </w:r>
            <w:proofErr w:type="spellEnd"/>
          </w:p>
          <w:p w:rsidR="003E7617" w:rsidRPr="00295A13" w:rsidRDefault="003E7617" w:rsidP="003E7617">
            <w:pPr>
              <w:pStyle w:val="Default"/>
              <w:numPr>
                <w:ilvl w:val="0"/>
                <w:numId w:val="3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r w:rsidRPr="00295A13">
              <w:rPr>
                <w:rFonts w:ascii="Arial Narrow" w:hAnsi="Arial Narrow"/>
                <w:sz w:val="20"/>
                <w:szCs w:val="20"/>
                <w:lang w:val="id-ID"/>
              </w:rPr>
              <w:t>Alo</w:t>
            </w:r>
            <w:proofErr w:type="spellStart"/>
            <w:r w:rsidRPr="00295A13">
              <w:rPr>
                <w:rFonts w:ascii="Arial Narrow" w:hAnsi="Arial Narrow"/>
                <w:sz w:val="20"/>
                <w:szCs w:val="20"/>
              </w:rPr>
              <w:t>kasi</w:t>
            </w:r>
            <w:proofErr w:type="spellEnd"/>
            <w:r w:rsidRPr="00295A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5A13">
              <w:rPr>
                <w:rFonts w:ascii="Arial Narrow" w:hAnsi="Arial Narrow"/>
                <w:sz w:val="20"/>
                <w:szCs w:val="20"/>
                <w:lang w:val="id-ID"/>
              </w:rPr>
              <w:t>c</w:t>
            </w:r>
            <w:proofErr w:type="spellStart"/>
            <w:r w:rsidRPr="00295A13">
              <w:rPr>
                <w:rFonts w:ascii="Arial Narrow" w:hAnsi="Arial Narrow"/>
                <w:i/>
                <w:iCs/>
                <w:sz w:val="20"/>
                <w:szCs w:val="20"/>
              </w:rPr>
              <w:t>ommon</w:t>
            </w:r>
            <w:proofErr w:type="spellEnd"/>
            <w:r w:rsidRPr="00295A1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cost </w:t>
            </w:r>
          </w:p>
          <w:p w:rsidR="003E7617" w:rsidRDefault="003E7617" w:rsidP="00120A53">
            <w:pPr>
              <w:pStyle w:val="Default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3E7617" w:rsidRDefault="003E7617" w:rsidP="00120A53">
            <w:pPr>
              <w:pStyle w:val="Default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3E7617" w:rsidRPr="00295A13" w:rsidRDefault="003E7617" w:rsidP="00120A53">
            <w:pPr>
              <w:rPr>
                <w:lang w:val="en-US"/>
              </w:rPr>
            </w:pPr>
          </w:p>
          <w:p w:rsidR="003E7617" w:rsidRDefault="003E7617" w:rsidP="00120A53">
            <w:pPr>
              <w:rPr>
                <w:lang w:val="en-US"/>
              </w:rPr>
            </w:pPr>
          </w:p>
          <w:p w:rsidR="003E7617" w:rsidRPr="00295A13" w:rsidRDefault="003E7617" w:rsidP="00120A53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3E7617" w:rsidRPr="00E43737" w:rsidRDefault="003E7617" w:rsidP="00120A53">
            <w:pPr>
              <w:rPr>
                <w:rFonts w:ascii="Arial Narrow" w:hAnsi="Arial Narrow"/>
                <w:lang w:val="en-US"/>
              </w:rPr>
            </w:pPr>
            <w:r w:rsidRPr="009C6792">
              <w:rPr>
                <w:rFonts w:ascii="Arial Narrow" w:hAnsi="Arial Narrow" w:cs="Arial Narrow"/>
                <w:lang w:val="id-ID"/>
              </w:rPr>
              <w:t>Mahasiswa mampu memahami fungsi depart</w:t>
            </w:r>
            <w:r w:rsidRPr="009C6792">
              <w:rPr>
                <w:rFonts w:ascii="Arial Narrow" w:hAnsi="Arial Narrow"/>
                <w:lang w:val="id-ID"/>
              </w:rPr>
              <w:t>emen produksi dan departemen pendukung di dalam suatu organisasi, dan mengalokasikan biaya departemen pendukung dengan menggunakan metode langsung (</w:t>
            </w:r>
            <w:r w:rsidRPr="009C6792">
              <w:rPr>
                <w:rFonts w:ascii="Arial Narrow" w:hAnsi="Arial Narrow"/>
                <w:i/>
                <w:lang w:val="id-ID"/>
              </w:rPr>
              <w:t>direct</w:t>
            </w:r>
            <w:r w:rsidRPr="009C6792">
              <w:rPr>
                <w:rFonts w:ascii="Arial Narrow" w:hAnsi="Arial Narrow"/>
                <w:lang w:val="id-ID"/>
              </w:rPr>
              <w:t>), bertahap (</w:t>
            </w:r>
            <w:r w:rsidRPr="009C6792">
              <w:rPr>
                <w:rFonts w:ascii="Arial Narrow" w:hAnsi="Arial Narrow"/>
                <w:i/>
                <w:lang w:val="id-ID"/>
              </w:rPr>
              <w:t>sequential</w:t>
            </w:r>
            <w:r w:rsidRPr="009C6792">
              <w:rPr>
                <w:rFonts w:ascii="Arial Narrow" w:hAnsi="Arial Narrow"/>
                <w:lang w:val="id-ID"/>
              </w:rPr>
              <w:t xml:space="preserve">), dan </w:t>
            </w:r>
            <w:r w:rsidRPr="009C6792">
              <w:rPr>
                <w:rFonts w:ascii="Arial Narrow" w:hAnsi="Arial Narrow"/>
                <w:lang w:val="id-ID"/>
              </w:rPr>
              <w:lastRenderedPageBreak/>
              <w:t>timbal-balik (</w:t>
            </w:r>
            <w:r w:rsidRPr="009C6792">
              <w:rPr>
                <w:rFonts w:ascii="Arial Narrow" w:hAnsi="Arial Narrow"/>
                <w:i/>
                <w:lang w:val="id-ID"/>
              </w:rPr>
              <w:t>reciprocal</w:t>
            </w:r>
            <w:r w:rsidRPr="009C6792">
              <w:rPr>
                <w:rFonts w:ascii="Arial Narrow" w:hAnsi="Arial Narrow"/>
                <w:lang w:val="id-ID"/>
              </w:rPr>
              <w:t>)</w:t>
            </w:r>
            <w:r>
              <w:rPr>
                <w:rFonts w:ascii="Arial Narrow" w:hAnsi="Arial Narrow"/>
                <w:lang w:val="en-US"/>
              </w:rPr>
              <w:t>.</w:t>
            </w:r>
          </w:p>
          <w:p w:rsidR="003E7617" w:rsidRPr="00E43737" w:rsidRDefault="003E7617" w:rsidP="00120A53">
            <w:pPr>
              <w:rPr>
                <w:rFonts w:ascii="Arial Narrow" w:hAnsi="Arial Narrow"/>
                <w:lang w:val="en-US"/>
              </w:rPr>
            </w:pP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Pr="009C6792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13</w:t>
            </w:r>
          </w:p>
        </w:tc>
        <w:tc>
          <w:tcPr>
            <w:tcW w:w="1183" w:type="dxa"/>
            <w:gridSpan w:val="2"/>
          </w:tcPr>
          <w:p w:rsidR="003E7617" w:rsidRPr="00295A13" w:rsidRDefault="003E7617" w:rsidP="00120A53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Alokasi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Produk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Bersama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 (</w:t>
            </w:r>
            <w:r w:rsidRPr="00295A13">
              <w:rPr>
                <w:rFonts w:ascii="Arial Narrow" w:hAnsi="Arial Narrow"/>
                <w:b/>
                <w:i/>
                <w:lang w:val="en-US"/>
              </w:rPr>
              <w:t>Joint Product</w:t>
            </w:r>
            <w:r>
              <w:rPr>
                <w:rFonts w:ascii="Arial Narrow" w:hAnsi="Arial Narrow"/>
                <w:b/>
                <w:lang w:val="en-US"/>
              </w:rPr>
              <w:t xml:space="preserve">)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Sampingan</w:t>
            </w:r>
            <w:proofErr w:type="spellEnd"/>
            <w:r>
              <w:rPr>
                <w:rFonts w:ascii="Arial Narrow" w:hAnsi="Arial Narrow"/>
                <w:b/>
                <w:lang w:val="en-US"/>
              </w:rPr>
              <w:t xml:space="preserve"> (</w:t>
            </w:r>
            <w:r w:rsidRPr="00295A13">
              <w:rPr>
                <w:rFonts w:ascii="Arial Narrow" w:hAnsi="Arial Narrow"/>
                <w:b/>
                <w:i/>
                <w:lang w:val="en-US"/>
              </w:rPr>
              <w:t>By-Product</w:t>
            </w:r>
            <w:r>
              <w:rPr>
                <w:rFonts w:ascii="Arial Narrow" w:hAnsi="Arial Narrow"/>
                <w:b/>
                <w:lang w:val="en-US"/>
              </w:rPr>
              <w:t>)</w:t>
            </w:r>
          </w:p>
        </w:tc>
        <w:tc>
          <w:tcPr>
            <w:tcW w:w="3452" w:type="dxa"/>
            <w:gridSpan w:val="3"/>
          </w:tcPr>
          <w:p w:rsidR="003E7617" w:rsidRPr="00420DFA" w:rsidRDefault="003E7617" w:rsidP="003E7617">
            <w:pPr>
              <w:pStyle w:val="Default"/>
              <w:numPr>
                <w:ilvl w:val="0"/>
                <w:numId w:val="4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Definisi</w:t>
            </w:r>
            <w:proofErr w:type="spellEnd"/>
            <w:r w:rsidRPr="00420D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6E62">
              <w:rPr>
                <w:rFonts w:ascii="Arial Narrow" w:hAnsi="Arial Narrow"/>
                <w:i/>
                <w:sz w:val="20"/>
                <w:szCs w:val="20"/>
                <w:lang w:val="id-ID"/>
              </w:rPr>
              <w:t>joint cost</w:t>
            </w:r>
          </w:p>
          <w:p w:rsidR="003E7617" w:rsidRPr="00295A13" w:rsidRDefault="003E7617" w:rsidP="003E7617">
            <w:pPr>
              <w:pStyle w:val="Default"/>
              <w:numPr>
                <w:ilvl w:val="0"/>
                <w:numId w:val="4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20DFA">
              <w:rPr>
                <w:rFonts w:ascii="Arial Narrow" w:hAnsi="Arial Narrow"/>
                <w:sz w:val="20"/>
                <w:szCs w:val="20"/>
              </w:rPr>
              <w:t>Pe</w:t>
            </w:r>
            <w:r>
              <w:rPr>
                <w:rFonts w:ascii="Arial Narrow" w:hAnsi="Arial Narrow"/>
                <w:sz w:val="20"/>
                <w:szCs w:val="20"/>
              </w:rPr>
              <w:t>ndekatan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alokasi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bersama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E7617" w:rsidRPr="005E7091" w:rsidRDefault="003E7617" w:rsidP="003E7617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20D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Sales value at </w:t>
            </w:r>
            <w:proofErr w:type="spellStart"/>
            <w:r w:rsidRPr="00420DFA">
              <w:rPr>
                <w:rFonts w:ascii="Arial Narrow" w:hAnsi="Arial Narrow"/>
                <w:i/>
                <w:iCs/>
                <w:sz w:val="20"/>
                <w:szCs w:val="20"/>
              </w:rPr>
              <w:t>splitoff</w:t>
            </w:r>
            <w:proofErr w:type="spellEnd"/>
            <w:r w:rsidRPr="00420D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method </w:t>
            </w:r>
          </w:p>
          <w:p w:rsidR="003E7617" w:rsidRPr="005E7091" w:rsidRDefault="003E7617" w:rsidP="003E7617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5E70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Physical measure method </w:t>
            </w:r>
          </w:p>
          <w:p w:rsidR="003E7617" w:rsidRPr="005E7091" w:rsidRDefault="003E7617" w:rsidP="003E7617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5E70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Net Realizable value method </w:t>
            </w:r>
          </w:p>
          <w:p w:rsidR="003E7617" w:rsidRPr="00295A13" w:rsidRDefault="003E7617" w:rsidP="003E7617">
            <w:pPr>
              <w:pStyle w:val="Default"/>
              <w:numPr>
                <w:ilvl w:val="0"/>
                <w:numId w:val="9"/>
              </w:numPr>
              <w:ind w:left="27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7091">
              <w:rPr>
                <w:rFonts w:ascii="Arial Narrow" w:hAnsi="Arial Narrow"/>
                <w:sz w:val="20"/>
                <w:szCs w:val="20"/>
              </w:rPr>
              <w:t>Akuntansi</w:t>
            </w:r>
            <w:proofErr w:type="spellEnd"/>
            <w:r w:rsidRPr="005E70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E7091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5E70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E7091">
              <w:rPr>
                <w:rFonts w:ascii="Arial Narrow" w:hAnsi="Arial Narrow"/>
                <w:sz w:val="20"/>
                <w:szCs w:val="20"/>
              </w:rPr>
              <w:t>produk</w:t>
            </w:r>
            <w:proofErr w:type="spellEnd"/>
            <w:r w:rsidRPr="005E70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E7091">
              <w:rPr>
                <w:rFonts w:ascii="Arial Narrow" w:hAnsi="Arial Narrow"/>
                <w:sz w:val="20"/>
                <w:szCs w:val="20"/>
              </w:rPr>
              <w:t>sampingan</w:t>
            </w:r>
            <w:proofErr w:type="spellEnd"/>
            <w:r w:rsidRPr="005E70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:rsidR="003E7617" w:rsidRPr="009C6792" w:rsidRDefault="003E7617" w:rsidP="00120A53">
            <w:pPr>
              <w:rPr>
                <w:rFonts w:ascii="Arial Narrow" w:hAnsi="Arial Narrow" w:cs="Arial Narrow"/>
                <w:lang w:val="id-ID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 w:cs="Arial Narrow"/>
                <w:lang w:val="id-ID"/>
              </w:rPr>
              <w:t>mampu memahami bagaimana menghitun</w:t>
            </w:r>
            <w:r w:rsidRPr="009C6792">
              <w:rPr>
                <w:rFonts w:ascii="Arial Narrow" w:hAnsi="Arial Narrow"/>
                <w:lang w:val="id-ID"/>
              </w:rPr>
              <w:t xml:space="preserve">g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mengalokasikan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/>
                <w:lang w:val="id-ID"/>
              </w:rPr>
              <w:t>harga pokok bersama (</w:t>
            </w:r>
            <w:r w:rsidRPr="009C6792">
              <w:rPr>
                <w:rFonts w:ascii="Arial Narrow" w:hAnsi="Arial Narrow"/>
                <w:i/>
                <w:lang w:val="id-ID"/>
              </w:rPr>
              <w:t>joint cost</w:t>
            </w:r>
            <w:r w:rsidRPr="009C6792">
              <w:rPr>
                <w:rFonts w:ascii="Arial Narrow" w:hAnsi="Arial Narrow"/>
                <w:lang w:val="id-ID"/>
              </w:rPr>
              <w:t>),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/>
                <w:lang w:val="id-ID"/>
              </w:rPr>
              <w:t>karakteristik proses produksi bersama (</w:t>
            </w:r>
            <w:r w:rsidRPr="009C6792">
              <w:rPr>
                <w:rFonts w:ascii="Arial Narrow" w:hAnsi="Arial Narrow"/>
                <w:i/>
                <w:lang w:val="id-ID"/>
              </w:rPr>
              <w:t>joint product</w:t>
            </w:r>
            <w:r w:rsidRPr="009C6792">
              <w:rPr>
                <w:rFonts w:ascii="Arial Narrow" w:hAnsi="Arial Narrow"/>
                <w:lang w:val="id-ID"/>
              </w:rPr>
              <w:t xml:space="preserve">), dan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/>
                <w:lang w:val="id-ID"/>
              </w:rPr>
              <w:t xml:space="preserve">pencatatan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9C6792">
              <w:rPr>
                <w:rFonts w:ascii="Arial Narrow" w:hAnsi="Arial Narrow"/>
                <w:lang w:val="id-ID"/>
              </w:rPr>
              <w:t>untuk produk sekunder (</w:t>
            </w:r>
            <w:r w:rsidRPr="009C6792">
              <w:rPr>
                <w:rFonts w:ascii="Arial Narrow" w:hAnsi="Arial Narrow"/>
                <w:i/>
                <w:lang w:val="id-ID"/>
              </w:rPr>
              <w:t>by-product</w:t>
            </w:r>
            <w:r w:rsidRPr="009C6792">
              <w:rPr>
                <w:rFonts w:ascii="Arial Narrow" w:hAnsi="Arial Narrow"/>
                <w:lang w:val="id-ID"/>
              </w:rPr>
              <w:t>).</w:t>
            </w:r>
          </w:p>
        </w:tc>
      </w:tr>
      <w:tr w:rsidR="003E7617" w:rsidRPr="002C57E2" w:rsidTr="003E7617">
        <w:trPr>
          <w:jc w:val="center"/>
        </w:trPr>
        <w:tc>
          <w:tcPr>
            <w:tcW w:w="725" w:type="dxa"/>
          </w:tcPr>
          <w:p w:rsidR="003E7617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</w:t>
            </w:r>
          </w:p>
        </w:tc>
        <w:tc>
          <w:tcPr>
            <w:tcW w:w="1183" w:type="dxa"/>
            <w:gridSpan w:val="2"/>
          </w:tcPr>
          <w:p w:rsidR="003E7617" w:rsidRPr="0077146A" w:rsidRDefault="003E7617" w:rsidP="00120A53">
            <w:pPr>
              <w:rPr>
                <w:rFonts w:ascii="Arial Narrow" w:hAnsi="Arial Narrow"/>
                <w:b/>
                <w:i/>
                <w:lang w:val="en-US"/>
              </w:rPr>
            </w:pPr>
            <w:proofErr w:type="spellStart"/>
            <w:r w:rsidRPr="001D301C">
              <w:rPr>
                <w:rFonts w:ascii="Arial Narrow" w:hAnsi="Arial Narrow"/>
                <w:b/>
                <w:lang w:val="en-US"/>
              </w:rPr>
              <w:t>Manajemen</w:t>
            </w:r>
            <w:proofErr w:type="spellEnd"/>
            <w:r w:rsidRPr="001D301C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1D301C">
              <w:rPr>
                <w:rFonts w:ascii="Arial Narrow" w:hAnsi="Arial Narrow"/>
                <w:b/>
                <w:lang w:val="en-US"/>
              </w:rPr>
              <w:t>Inventori</w:t>
            </w:r>
            <w:proofErr w:type="spellEnd"/>
            <w:r>
              <w:rPr>
                <w:rFonts w:ascii="Arial Narrow" w:hAnsi="Arial Narrow"/>
                <w:b/>
                <w:i/>
                <w:lang w:val="en-US"/>
              </w:rPr>
              <w:t xml:space="preserve">: </w:t>
            </w:r>
            <w:proofErr w:type="spellStart"/>
            <w:r w:rsidRPr="0077146A">
              <w:rPr>
                <w:rFonts w:ascii="Arial Narrow" w:hAnsi="Arial Narrow"/>
                <w:b/>
                <w:i/>
                <w:lang w:val="en-US"/>
              </w:rPr>
              <w:t>Backflush</w:t>
            </w:r>
            <w:proofErr w:type="spellEnd"/>
            <w:r>
              <w:rPr>
                <w:rFonts w:ascii="Arial Narrow" w:hAnsi="Arial Narrow"/>
                <w:b/>
                <w:i/>
                <w:lang w:val="en-US"/>
              </w:rPr>
              <w:t>, JIT Production</w:t>
            </w:r>
          </w:p>
        </w:tc>
        <w:tc>
          <w:tcPr>
            <w:tcW w:w="3452" w:type="dxa"/>
            <w:gridSpan w:val="3"/>
          </w:tcPr>
          <w:p w:rsidR="003E7617" w:rsidRPr="00E46BAA" w:rsidRDefault="003E7617" w:rsidP="003E7617">
            <w:pPr>
              <w:pStyle w:val="Default"/>
              <w:numPr>
                <w:ilvl w:val="0"/>
                <w:numId w:val="10"/>
              </w:numPr>
              <w:ind w:left="261" w:hanging="27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46BAA">
              <w:rPr>
                <w:rFonts w:ascii="Arial Narrow" w:hAnsi="Arial Narrow"/>
                <w:sz w:val="20"/>
                <w:szCs w:val="20"/>
                <w:lang w:val="sv-SE"/>
              </w:rPr>
              <w:t>Enam kategori biaya terkait dengan barang yang dijual</w:t>
            </w:r>
          </w:p>
          <w:p w:rsidR="003E7617" w:rsidRDefault="003E7617" w:rsidP="003E7617">
            <w:pPr>
              <w:pStyle w:val="Default"/>
              <w:numPr>
                <w:ilvl w:val="0"/>
                <w:numId w:val="10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Produksi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JIT</w:t>
            </w:r>
          </w:p>
          <w:p w:rsidR="003E7617" w:rsidRDefault="003E7617" w:rsidP="003E7617">
            <w:pPr>
              <w:pStyle w:val="Default"/>
              <w:numPr>
                <w:ilvl w:val="0"/>
                <w:numId w:val="10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backflush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costing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pencatatan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akuntansinya</w:t>
            </w:r>
            <w:proofErr w:type="spellEnd"/>
          </w:p>
          <w:p w:rsidR="003E7617" w:rsidRPr="00CF722C" w:rsidRDefault="003E7617" w:rsidP="003E7617">
            <w:pPr>
              <w:pStyle w:val="Default"/>
              <w:numPr>
                <w:ilvl w:val="0"/>
                <w:numId w:val="10"/>
              </w:numPr>
              <w:ind w:left="261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CF722C">
              <w:rPr>
                <w:rFonts w:ascii="Arial Narrow" w:hAnsi="Arial Narrow"/>
                <w:i/>
                <w:sz w:val="20"/>
                <w:szCs w:val="20"/>
              </w:rPr>
              <w:t>Standard costing</w:t>
            </w:r>
          </w:p>
          <w:p w:rsidR="003E7617" w:rsidRPr="00420DFA" w:rsidRDefault="003E7617" w:rsidP="00120A53">
            <w:pPr>
              <w:pStyle w:val="Default"/>
              <w:ind w:left="26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0" w:type="dxa"/>
          </w:tcPr>
          <w:p w:rsidR="003E7617" w:rsidRPr="000263F3" w:rsidRDefault="003E7617" w:rsidP="00120A53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menghitung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biaya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lang w:val="en-US"/>
              </w:rPr>
              <w:t>backflush</w:t>
            </w:r>
            <w:proofErr w:type="spellEnd"/>
            <w:r>
              <w:rPr>
                <w:rFonts w:ascii="Arial Narrow" w:hAnsi="Arial Narrow"/>
                <w:i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yang </w:t>
            </w:r>
            <w:proofErr w:type="spellStart"/>
            <w:r>
              <w:rPr>
                <w:rFonts w:ascii="Arial Narrow" w:hAnsi="Arial Narrow"/>
                <w:lang w:val="en-US"/>
              </w:rPr>
              <w:t>digunakan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oleh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perusahaan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JIT </w:t>
            </w:r>
            <w:proofErr w:type="spellStart"/>
            <w:r>
              <w:rPr>
                <w:rFonts w:ascii="Arial Narrow" w:hAnsi="Arial Narrow"/>
                <w:lang w:val="en-US"/>
              </w:rPr>
              <w:t>secara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berhasil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</w:tc>
      </w:tr>
      <w:tr w:rsidR="003E7617" w:rsidRPr="00E46BAA" w:rsidTr="003E7617">
        <w:trPr>
          <w:jc w:val="center"/>
        </w:trPr>
        <w:tc>
          <w:tcPr>
            <w:tcW w:w="725" w:type="dxa"/>
          </w:tcPr>
          <w:p w:rsidR="003E7617" w:rsidRDefault="003E7617" w:rsidP="00120A5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1183" w:type="dxa"/>
            <w:gridSpan w:val="2"/>
          </w:tcPr>
          <w:p w:rsidR="003E7617" w:rsidRPr="001D301C" w:rsidRDefault="003E7617" w:rsidP="00120A53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>Standard Costing</w:t>
            </w:r>
          </w:p>
        </w:tc>
        <w:tc>
          <w:tcPr>
            <w:tcW w:w="3452" w:type="dxa"/>
            <w:gridSpan w:val="3"/>
          </w:tcPr>
          <w:p w:rsidR="003E7617" w:rsidRDefault="003E7617" w:rsidP="003E7617">
            <w:pPr>
              <w:pStyle w:val="Default"/>
              <w:numPr>
                <w:ilvl w:val="0"/>
                <w:numId w:val="12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Konsep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7855">
              <w:rPr>
                <w:rFonts w:ascii="Arial Narrow" w:hAnsi="Arial Narrow"/>
                <w:i/>
                <w:sz w:val="20"/>
                <w:szCs w:val="20"/>
              </w:rPr>
              <w:t>standar</w:t>
            </w:r>
            <w:r>
              <w:rPr>
                <w:rFonts w:ascii="Arial Narrow" w:hAnsi="Arial Narrow"/>
                <w:i/>
                <w:sz w:val="20"/>
                <w:szCs w:val="20"/>
              </w:rPr>
              <w:t>d</w:t>
            </w:r>
            <w:r w:rsidRPr="00467855">
              <w:rPr>
                <w:rFonts w:ascii="Arial Narrow" w:hAnsi="Arial Narrow"/>
                <w:i/>
                <w:sz w:val="20"/>
                <w:szCs w:val="20"/>
              </w:rPr>
              <w:t xml:space="preserve"> costing</w:t>
            </w:r>
          </w:p>
          <w:p w:rsidR="003E7617" w:rsidRDefault="003E7617" w:rsidP="003E7617">
            <w:pPr>
              <w:pStyle w:val="Default"/>
              <w:numPr>
                <w:ilvl w:val="0"/>
                <w:numId w:val="12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Standar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bahan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baku</w:t>
                </w:r>
              </w:smartTag>
            </w:smartTag>
            <w:proofErr w:type="spellEnd"/>
          </w:p>
          <w:p w:rsidR="003E7617" w:rsidRDefault="003E7617" w:rsidP="003E7617">
            <w:pPr>
              <w:pStyle w:val="Default"/>
              <w:numPr>
                <w:ilvl w:val="0"/>
                <w:numId w:val="12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Standar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tenaga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</w:p>
          <w:p w:rsidR="003E7617" w:rsidRDefault="003E7617" w:rsidP="003E7617">
            <w:pPr>
              <w:pStyle w:val="Default"/>
              <w:numPr>
                <w:ilvl w:val="0"/>
                <w:numId w:val="12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Standar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biaya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overhead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pabrik</w:t>
            </w:r>
            <w:proofErr w:type="spellEnd"/>
          </w:p>
          <w:p w:rsidR="003E7617" w:rsidRDefault="003E7617" w:rsidP="003E7617">
            <w:pPr>
              <w:pStyle w:val="Default"/>
              <w:numPr>
                <w:ilvl w:val="0"/>
                <w:numId w:val="12"/>
              </w:numPr>
              <w:ind w:left="261" w:hanging="27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Pencatatan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selisih</w:t>
            </w:r>
            <w:proofErr w:type="spellEnd"/>
          </w:p>
        </w:tc>
        <w:tc>
          <w:tcPr>
            <w:tcW w:w="2220" w:type="dxa"/>
          </w:tcPr>
          <w:p w:rsidR="003E7617" w:rsidRDefault="003E7617" w:rsidP="00120A53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konsep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467855">
              <w:rPr>
                <w:rFonts w:ascii="Arial Narrow" w:hAnsi="Arial Narrow"/>
                <w:i/>
                <w:lang w:val="en-US"/>
              </w:rPr>
              <w:t>standar</w:t>
            </w:r>
            <w:proofErr w:type="spellEnd"/>
            <w:r w:rsidRPr="00467855">
              <w:rPr>
                <w:rFonts w:ascii="Arial Narrow" w:hAnsi="Arial Narrow"/>
                <w:i/>
                <w:lang w:val="en-US"/>
              </w:rPr>
              <w:t xml:space="preserve"> costing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untuk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baku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tenaga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kerja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overhead </w:t>
            </w:r>
            <w:proofErr w:type="spellStart"/>
            <w:r>
              <w:rPr>
                <w:rFonts w:ascii="Arial Narrow" w:hAnsi="Arial Narrow"/>
                <w:lang w:val="en-US"/>
              </w:rPr>
              <w:t>pabrik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617" w:rsidRPr="002C57E2" w:rsidTr="003E7617">
        <w:trPr>
          <w:gridAfter w:val="2"/>
          <w:wAfter w:w="4680" w:type="dxa"/>
          <w:jc w:val="center"/>
        </w:trPr>
        <w:tc>
          <w:tcPr>
            <w:tcW w:w="725" w:type="dxa"/>
          </w:tcPr>
          <w:p w:rsidR="003E7617" w:rsidRPr="00E46BAA" w:rsidRDefault="003E7617" w:rsidP="00120A53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16</w:t>
            </w:r>
          </w:p>
        </w:tc>
        <w:tc>
          <w:tcPr>
            <w:tcW w:w="725" w:type="dxa"/>
          </w:tcPr>
          <w:p w:rsidR="003E7617" w:rsidRDefault="003E7617" w:rsidP="00120A53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725" w:type="dxa"/>
            <w:gridSpan w:val="2"/>
          </w:tcPr>
          <w:p w:rsidR="003E7617" w:rsidRDefault="003E7617" w:rsidP="00120A53">
            <w:pPr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725" w:type="dxa"/>
          </w:tcPr>
          <w:p w:rsidR="003E7617" w:rsidRPr="002C57E2" w:rsidRDefault="003E7617" w:rsidP="00120A53">
            <w:pPr>
              <w:jc w:val="center"/>
              <w:rPr>
                <w:rFonts w:ascii="Arial Narrow" w:hAnsi="Arial Narrow"/>
                <w:lang w:val="id-ID"/>
              </w:rPr>
            </w:pPr>
            <w:r w:rsidRPr="009C6792">
              <w:rPr>
                <w:rFonts w:ascii="Arial Narrow" w:hAnsi="Arial Narrow" w:cs="Arial"/>
                <w:b/>
                <w:lang w:val="en-US"/>
              </w:rPr>
              <w:t>UAS</w:t>
            </w:r>
          </w:p>
        </w:tc>
      </w:tr>
    </w:tbl>
    <w:p w:rsidR="00005EF8" w:rsidRDefault="003E7617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AB5"/>
    <w:multiLevelType w:val="hybridMultilevel"/>
    <w:tmpl w:val="F59C1C88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2286970"/>
    <w:multiLevelType w:val="hybridMultilevel"/>
    <w:tmpl w:val="7208F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7E56"/>
    <w:multiLevelType w:val="hybridMultilevel"/>
    <w:tmpl w:val="B5A2AFEC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0DC"/>
    <w:multiLevelType w:val="hybridMultilevel"/>
    <w:tmpl w:val="17600962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3B0A"/>
    <w:multiLevelType w:val="hybridMultilevel"/>
    <w:tmpl w:val="6AE8D62A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630"/>
    <w:multiLevelType w:val="hybridMultilevel"/>
    <w:tmpl w:val="21A896F4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555BA"/>
    <w:multiLevelType w:val="hybridMultilevel"/>
    <w:tmpl w:val="28D4B5AA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430B"/>
    <w:multiLevelType w:val="hybridMultilevel"/>
    <w:tmpl w:val="F3A0E1C8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40F36"/>
    <w:multiLevelType w:val="hybridMultilevel"/>
    <w:tmpl w:val="9DFEA40E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A6D97"/>
    <w:multiLevelType w:val="hybridMultilevel"/>
    <w:tmpl w:val="041E5366"/>
    <w:lvl w:ilvl="0" w:tplc="5C6298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231DAE"/>
    <w:multiLevelType w:val="hybridMultilevel"/>
    <w:tmpl w:val="8A567018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1366E"/>
    <w:multiLevelType w:val="hybridMultilevel"/>
    <w:tmpl w:val="8F7AA4BA"/>
    <w:lvl w:ilvl="0" w:tplc="5C629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7"/>
    <w:rsid w:val="003E7617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6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6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2018-03-08T03:31:00Z</dcterms:created>
  <dcterms:modified xsi:type="dcterms:W3CDTF">2018-03-08T03:36:00Z</dcterms:modified>
</cp:coreProperties>
</file>