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210"/>
        <w:gridCol w:w="2070"/>
        <w:gridCol w:w="3452"/>
        <w:gridCol w:w="1627"/>
      </w:tblGrid>
      <w:tr w:rsidR="004070B9" w:rsidRPr="004070B9" w:rsidTr="001F5725">
        <w:trPr>
          <w:tblHeader/>
          <w:jc w:val="center"/>
        </w:trPr>
        <w:tc>
          <w:tcPr>
            <w:tcW w:w="72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  <w:t>Mg#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  <w:t>Tujuan Instruksional Khusus (TIK)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  <w:t>Topik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  <w:t>Sub-</w:t>
            </w:r>
            <w:proofErr w:type="spellStart"/>
            <w:r w:rsidRPr="004070B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Topik</w:t>
            </w:r>
            <w:proofErr w:type="spellEnd"/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  <w:t>Kegiatan K/</w:t>
            </w:r>
            <w:r w:rsidRPr="004070B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</w:t>
            </w:r>
            <w:r w:rsidRPr="004070B9"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  <w:t>/</w:t>
            </w:r>
            <w:r w:rsidRPr="004070B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</w:t>
            </w:r>
            <w:r w:rsidRPr="004070B9"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  <w:t>/</w:t>
            </w:r>
            <w:r w:rsidRPr="004070B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KM</w:t>
            </w:r>
            <w:r w:rsidRPr="004070B9"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  <w:t>/</w:t>
            </w:r>
            <w:r w:rsidRPr="004070B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</w:t>
            </w:r>
            <w:r w:rsidRPr="004070B9"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  <w:t>*</w:t>
            </w:r>
          </w:p>
        </w:tc>
      </w:tr>
      <w:tr w:rsidR="004070B9" w:rsidRPr="004070B9" w:rsidTr="001F5725">
        <w:trPr>
          <w:jc w:val="center"/>
        </w:trPr>
        <w:tc>
          <w:tcPr>
            <w:tcW w:w="725" w:type="dxa"/>
            <w:tcBorders>
              <w:bottom w:val="nil"/>
            </w:tcBorders>
          </w:tcPr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3210" w:type="dxa"/>
            <w:tcBorders>
              <w:bottom w:val="nil"/>
            </w:tcBorders>
          </w:tcPr>
          <w:p w:rsidR="004070B9" w:rsidRPr="004070B9" w:rsidRDefault="004070B9" w:rsidP="004070B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dapat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menjelaskan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mengenai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:</w:t>
            </w:r>
          </w:p>
          <w:p w:rsidR="004070B9" w:rsidRPr="004070B9" w:rsidRDefault="004070B9" w:rsidP="004070B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fungsi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perbedaan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dengan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jenis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pungutan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lainnya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hukum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serta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kedudukan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hukum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pembagian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hukum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asas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pemungutan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tarif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timbul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berakhirnya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utang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.</w:t>
            </w:r>
          </w:p>
          <w:p w:rsidR="004070B9" w:rsidRPr="004070B9" w:rsidRDefault="004070B9" w:rsidP="004070B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</w:p>
        </w:tc>
        <w:tc>
          <w:tcPr>
            <w:tcW w:w="2070" w:type="dxa"/>
          </w:tcPr>
          <w:p w:rsidR="004070B9" w:rsidRPr="004070B9" w:rsidRDefault="004070B9" w:rsidP="004070B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070B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PENGANTAR PERPAJAKAN 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3452" w:type="dxa"/>
            <w:tcBorders>
              <w:bottom w:val="nil"/>
            </w:tcBorders>
          </w:tcPr>
          <w:p w:rsidR="004070B9" w:rsidRPr="004070B9" w:rsidRDefault="004070B9" w:rsidP="004070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fungsi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Perbedaan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dengan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pungutan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lainnya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kedudukan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hukum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Asas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cara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pemungutan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Tarif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Hapusnya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utang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</w:p>
          <w:p w:rsidR="004070B9" w:rsidRPr="004070B9" w:rsidRDefault="004070B9" w:rsidP="004070B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</w:p>
        </w:tc>
        <w:tc>
          <w:tcPr>
            <w:tcW w:w="1627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K: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M/bab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R: P: -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KM: 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T: -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070B9" w:rsidRPr="004070B9" w:rsidTr="001F5725">
        <w:trPr>
          <w:jc w:val="center"/>
        </w:trPr>
        <w:tc>
          <w:tcPr>
            <w:tcW w:w="725" w:type="dxa"/>
            <w:tcBorders>
              <w:bottom w:val="nil"/>
            </w:tcBorders>
          </w:tcPr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 xml:space="preserve">2 </w:t>
            </w:r>
          </w:p>
        </w:tc>
        <w:tc>
          <w:tcPr>
            <w:tcW w:w="3210" w:type="dxa"/>
            <w:tcBorders>
              <w:bottom w:val="nil"/>
            </w:tcBorders>
          </w:tcPr>
          <w:p w:rsidR="004070B9" w:rsidRPr="004070B9" w:rsidRDefault="004070B9" w:rsidP="004070B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dapat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menjelaskan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mengenai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:</w:t>
            </w:r>
          </w:p>
          <w:p w:rsidR="004070B9" w:rsidRPr="004070B9" w:rsidRDefault="004070B9" w:rsidP="004070B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KUP,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asas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pemungutan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fungsi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cara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memperoleh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NPWP, NPPKP,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sarana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batas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waktu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angsuran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penundaan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pembayaran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SPT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jenis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-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jenisnya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SKP, SKPKB, SKPKBT, SKPLB, SKPN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STP,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kewajiban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pembukuan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pemeriksaan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penyidikan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cara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mengajukan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keberatan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banding,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sengketa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penyelesaiannya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cara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penagihan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serta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sanksi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perpajakan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.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Ketentuan umum dan tata cara perpajakan</w:t>
            </w:r>
          </w:p>
        </w:tc>
        <w:tc>
          <w:tcPr>
            <w:tcW w:w="3452" w:type="dxa"/>
            <w:tcBorders>
              <w:bottom w:val="nil"/>
            </w:tcBorders>
          </w:tcPr>
          <w:p w:rsidR="004070B9" w:rsidRPr="004070B9" w:rsidRDefault="004070B9" w:rsidP="004070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fungsi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cara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mendapatkan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 NPWP, NPPKP</w:t>
            </w:r>
          </w:p>
          <w:p w:rsidR="004070B9" w:rsidRPr="004070B9" w:rsidRDefault="004070B9" w:rsidP="004070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fungsi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SPT, SKP, STP</w:t>
            </w:r>
          </w:p>
          <w:p w:rsidR="004070B9" w:rsidRPr="004070B9" w:rsidRDefault="004070B9" w:rsidP="004070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Kewajiban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pembukuan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Pemeriksaan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penyidikan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Keberatan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banding</w:t>
            </w:r>
          </w:p>
          <w:p w:rsidR="004070B9" w:rsidRPr="004070B9" w:rsidRDefault="004070B9" w:rsidP="004070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Penagihan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Sengketa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Perpajakan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penyelesaiannya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Sanksi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perpajakan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fungsi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kedudukan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hukum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K: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M/bab2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R: P: -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KM: Reading assignment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KUP undang-undang baru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T: 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070B9" w:rsidRPr="004070B9" w:rsidTr="001F5725">
        <w:trPr>
          <w:jc w:val="center"/>
        </w:trPr>
        <w:tc>
          <w:tcPr>
            <w:tcW w:w="725" w:type="dxa"/>
            <w:tcBorders>
              <w:bottom w:val="nil"/>
            </w:tcBorders>
          </w:tcPr>
          <w:p w:rsidR="004070B9" w:rsidRPr="004070B9" w:rsidRDefault="004070B9" w:rsidP="001F5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3210" w:type="dxa"/>
            <w:tcBorders>
              <w:bottom w:val="nil"/>
            </w:tcBorders>
          </w:tcPr>
          <w:p w:rsidR="004070B9" w:rsidRPr="004070B9" w:rsidRDefault="004070B9" w:rsidP="001F572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dapat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menjelaskan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mengenai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:</w:t>
            </w:r>
          </w:p>
          <w:p w:rsidR="004070B9" w:rsidRPr="004070B9" w:rsidRDefault="004070B9" w:rsidP="001F572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KUP,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asas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pemungutan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fungsi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cara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memperoleh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NPWP, NPPKP,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sarana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batas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waktu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angsuran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penundaan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pembayaran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SPT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jenis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-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jenisnya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SKP, SKPKB, SKPKBT, SKPLB, SKPN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STP,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kewajiban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pembukuan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pemeriksaan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penyidikan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cara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mengajukan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keberatan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banding,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sengketa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penyelesaiannya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cara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penagihan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serta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sanksi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perpajakan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.</w:t>
            </w:r>
          </w:p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</w:tcPr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Ketentuan umum dan tata cara perpajakan</w:t>
            </w:r>
          </w:p>
        </w:tc>
        <w:tc>
          <w:tcPr>
            <w:tcW w:w="3452" w:type="dxa"/>
            <w:tcBorders>
              <w:bottom w:val="nil"/>
            </w:tcBorders>
          </w:tcPr>
          <w:p w:rsidR="004070B9" w:rsidRPr="004070B9" w:rsidRDefault="004070B9" w:rsidP="004070B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fungsi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cara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mendapatkan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 NPWP, NPPKP</w:t>
            </w:r>
          </w:p>
          <w:p w:rsidR="004070B9" w:rsidRPr="004070B9" w:rsidRDefault="004070B9" w:rsidP="004070B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fungsi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SPT, SKP, STP</w:t>
            </w:r>
          </w:p>
          <w:p w:rsidR="004070B9" w:rsidRPr="004070B9" w:rsidRDefault="004070B9" w:rsidP="004070B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Kewajiban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pembukuan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Pemeriksaan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penyidikan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Keberatan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banding</w:t>
            </w:r>
          </w:p>
          <w:p w:rsidR="004070B9" w:rsidRPr="004070B9" w:rsidRDefault="004070B9" w:rsidP="004070B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Penagihan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Sengketa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Perpajakan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penyelesaiannya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Sanksi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perpajakan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fungsi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kedudukan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hukum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K: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M/bab2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</w:t>
            </w:r>
          </w:p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R: P: -</w:t>
            </w:r>
          </w:p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KM: Reading assignment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KUP undang-undang baru</w:t>
            </w:r>
          </w:p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T: </w:t>
            </w:r>
          </w:p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070B9" w:rsidRPr="004070B9" w:rsidTr="001F5725">
        <w:trPr>
          <w:jc w:val="center"/>
        </w:trPr>
        <w:tc>
          <w:tcPr>
            <w:tcW w:w="725" w:type="dxa"/>
            <w:tcBorders>
              <w:bottom w:val="nil"/>
            </w:tcBorders>
          </w:tcPr>
          <w:p w:rsidR="004070B9" w:rsidRPr="004070B9" w:rsidRDefault="004070B9" w:rsidP="001F5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3210" w:type="dxa"/>
            <w:tcBorders>
              <w:bottom w:val="nil"/>
            </w:tcBorders>
          </w:tcPr>
          <w:p w:rsidR="004070B9" w:rsidRPr="004070B9" w:rsidRDefault="004070B9" w:rsidP="001F572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dapat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menjelaskan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mengenai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:</w:t>
            </w:r>
          </w:p>
          <w:p w:rsidR="004070B9" w:rsidRPr="004070B9" w:rsidRDefault="004070B9" w:rsidP="001F572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KUP,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asas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pemungutan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fungsi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cara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memperoleh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NPWP, NPPKP,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sarana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batas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waktu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angsuran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penundaan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pembayaran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SPT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jenis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-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jenisnya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SKP, SKPKB, SKPKBT, SKPLB, SKPN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STP,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kewajiban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pembukuan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pemeriksaan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penyidikan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cara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mengajukan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keberatan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banding,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sengketa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lastRenderedPageBreak/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penyelesaiannya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cara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penagihan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serta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sanksi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perpajakan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.</w:t>
            </w:r>
          </w:p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</w:tcPr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lastRenderedPageBreak/>
              <w:t>Ketentuan umum dan tata cara perpajakan</w:t>
            </w:r>
          </w:p>
        </w:tc>
        <w:tc>
          <w:tcPr>
            <w:tcW w:w="3452" w:type="dxa"/>
            <w:tcBorders>
              <w:bottom w:val="nil"/>
            </w:tcBorders>
          </w:tcPr>
          <w:p w:rsidR="004070B9" w:rsidRPr="004070B9" w:rsidRDefault="004070B9" w:rsidP="004070B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fungsi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cara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mendapatkan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 NPWP, NPPKP</w:t>
            </w:r>
          </w:p>
          <w:p w:rsidR="004070B9" w:rsidRPr="004070B9" w:rsidRDefault="004070B9" w:rsidP="004070B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fungsi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SPT, SKP, STP</w:t>
            </w:r>
          </w:p>
          <w:p w:rsidR="004070B9" w:rsidRPr="004070B9" w:rsidRDefault="004070B9" w:rsidP="004070B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Kewajiban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pembukuan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Pemeriksaan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penyidikan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Keberatan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banding</w:t>
            </w:r>
          </w:p>
          <w:p w:rsidR="004070B9" w:rsidRPr="004070B9" w:rsidRDefault="004070B9" w:rsidP="004070B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Penagihan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Sengketa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Perpajakan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penyelesaiannya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Sanksi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perpajakan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lastRenderedPageBreak/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fungsi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kedudukan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hukum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K: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M/bab2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</w:t>
            </w:r>
          </w:p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R: P: -</w:t>
            </w:r>
          </w:p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KM: Reading assignment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KUP undang-undang baru</w:t>
            </w:r>
          </w:p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T: </w:t>
            </w:r>
          </w:p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070B9" w:rsidRPr="004070B9" w:rsidTr="001F5725">
        <w:trPr>
          <w:jc w:val="center"/>
        </w:trPr>
        <w:tc>
          <w:tcPr>
            <w:tcW w:w="725" w:type="dxa"/>
          </w:tcPr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lastRenderedPageBreak/>
              <w:t>5</w:t>
            </w:r>
          </w:p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3210" w:type="dxa"/>
          </w:tcPr>
          <w:p w:rsidR="004070B9" w:rsidRPr="004070B9" w:rsidRDefault="004070B9" w:rsidP="004070B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dapat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menjelaskan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mengenai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: 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subyek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kewajiban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subyektif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bukan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subyek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obyek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bukan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obyek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pengeluaran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boleh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dikurangkan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tidak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boleh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dikurangkan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kompensasi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kerugian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besarnya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PTKP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tarif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dasar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pengenaan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serta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perhitungan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PPh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terhutang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atas penghasilan tetap</w:t>
            </w:r>
          </w:p>
        </w:tc>
        <w:tc>
          <w:tcPr>
            <w:tcW w:w="2070" w:type="dxa"/>
          </w:tcPr>
          <w:p w:rsidR="004070B9" w:rsidRPr="004070B9" w:rsidRDefault="004070B9" w:rsidP="004070B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070B9">
              <w:rPr>
                <w:rFonts w:ascii="Arial Narrow" w:eastAsia="Times New Roman" w:hAnsi="Arial Narrow" w:cs="Times New Roman"/>
                <w:b/>
                <w:sz w:val="24"/>
                <w:szCs w:val="24"/>
                <w:lang w:val="id-ID"/>
              </w:rPr>
              <w:t>Pajak penghasilan</w:t>
            </w:r>
            <w:r w:rsidRPr="004070B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Pasal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21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52" w:type="dxa"/>
          </w:tcPr>
          <w:p w:rsidR="004070B9" w:rsidRPr="004070B9" w:rsidRDefault="004070B9" w:rsidP="004070B9">
            <w:pPr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subyek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obyek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Dasar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Pengenaan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Kompensasi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kerugian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Perhitungan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PPh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terhutang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bersifat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Final.</w:t>
            </w:r>
          </w:p>
          <w:p w:rsidR="004070B9" w:rsidRPr="004070B9" w:rsidRDefault="004070B9" w:rsidP="004070B9">
            <w:pPr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Petunjuk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pemotongan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PPh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pasal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21</w:t>
            </w:r>
          </w:p>
          <w:p w:rsidR="004070B9" w:rsidRPr="004070B9" w:rsidRDefault="004070B9" w:rsidP="004070B9">
            <w:pPr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Pemotong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/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bukan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pemotong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PPh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pasal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21 </w:t>
            </w:r>
          </w:p>
          <w:p w:rsidR="004070B9" w:rsidRPr="004070B9" w:rsidRDefault="004070B9" w:rsidP="004070B9">
            <w:pPr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Penerima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penghasilan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dipotong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penerima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penghasilan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dikecualikan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dari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pemotongan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</w:p>
          <w:p w:rsidR="004070B9" w:rsidRPr="004070B9" w:rsidRDefault="004070B9" w:rsidP="004070B9">
            <w:pPr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Objek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/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bukan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objek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PPh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pasal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21</w:t>
            </w:r>
          </w:p>
          <w:p w:rsidR="004070B9" w:rsidRPr="004070B9" w:rsidRDefault="004070B9" w:rsidP="004070B9">
            <w:pPr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Penghitung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PPh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pasal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21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bulanan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Pegawai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Tetap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,</w:t>
            </w:r>
          </w:p>
          <w:p w:rsidR="004070B9" w:rsidRPr="004070B9" w:rsidRDefault="004070B9" w:rsidP="004070B9">
            <w:pPr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bulanan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mantan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pegawai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penerima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pensiun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THT, </w:t>
            </w:r>
          </w:p>
          <w:p w:rsidR="004070B9" w:rsidRPr="004070B9" w:rsidRDefault="004070B9" w:rsidP="004070B9">
            <w:pPr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karena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kenaikan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gaji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uang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rapelan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), </w:t>
            </w:r>
          </w:p>
          <w:p w:rsidR="004070B9" w:rsidRPr="004070B9" w:rsidRDefault="004070B9" w:rsidP="004070B9">
            <w:pPr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Pegawai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baru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pindah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kerja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</w:p>
          <w:p w:rsidR="004070B9" w:rsidRPr="004070B9" w:rsidRDefault="004070B9" w:rsidP="004070B9">
            <w:pPr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Pegawai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menerima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bonus,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Penerima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Penghasilan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lainnya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Penghasilan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bersifat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final, </w:t>
            </w:r>
          </w:p>
          <w:p w:rsidR="004070B9" w:rsidRPr="004070B9" w:rsidRDefault="004070B9" w:rsidP="004070B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</w:p>
        </w:tc>
        <w:tc>
          <w:tcPr>
            <w:tcW w:w="1627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K: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M/bab4 bag1 dan bag 4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R: P: -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KM: Reading assignment (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hal 129-144 dan 158-176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), case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T: -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</w:p>
        </w:tc>
      </w:tr>
      <w:tr w:rsidR="004070B9" w:rsidRPr="004070B9" w:rsidTr="001F5725">
        <w:trPr>
          <w:jc w:val="center"/>
        </w:trPr>
        <w:tc>
          <w:tcPr>
            <w:tcW w:w="725" w:type="dxa"/>
          </w:tcPr>
          <w:p w:rsidR="004070B9" w:rsidRPr="004070B9" w:rsidRDefault="004070B9" w:rsidP="001F5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  <w:p w:rsidR="004070B9" w:rsidRPr="004070B9" w:rsidRDefault="004070B9" w:rsidP="001F57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3210" w:type="dxa"/>
          </w:tcPr>
          <w:p w:rsidR="004070B9" w:rsidRPr="004070B9" w:rsidRDefault="004070B9" w:rsidP="001F572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dapat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menjelaskan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mengenai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: </w:t>
            </w:r>
          </w:p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subyek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kewajiban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subyektif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bukan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subyek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obyek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bukan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obyek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pengeluaran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boleh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dikurangkan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tidak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boleh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dikurangkan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kompensasi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kerugian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besarnya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PTKP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tarif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dasar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pengenaan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serta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perhitungan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PPh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terhutang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atas penghasilan tetap</w:t>
            </w:r>
          </w:p>
        </w:tc>
        <w:tc>
          <w:tcPr>
            <w:tcW w:w="2070" w:type="dxa"/>
          </w:tcPr>
          <w:p w:rsidR="004070B9" w:rsidRPr="004070B9" w:rsidRDefault="004070B9" w:rsidP="001F572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070B9">
              <w:rPr>
                <w:rFonts w:ascii="Arial Narrow" w:eastAsia="Times New Roman" w:hAnsi="Arial Narrow" w:cs="Times New Roman"/>
                <w:b/>
                <w:sz w:val="24"/>
                <w:szCs w:val="24"/>
                <w:lang w:val="id-ID"/>
              </w:rPr>
              <w:t>Pajak penghasilan</w:t>
            </w:r>
            <w:r w:rsidRPr="004070B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Pasal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21</w:t>
            </w:r>
          </w:p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52" w:type="dxa"/>
          </w:tcPr>
          <w:p w:rsidR="004070B9" w:rsidRPr="004070B9" w:rsidRDefault="004070B9" w:rsidP="004070B9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1.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subyek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obyek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bookmarkStart w:id="0" w:name="_GoBack"/>
            <w:bookmarkEnd w:id="0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Dasar 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Pengenaan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2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Kompensasi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kerugian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12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Perhitungan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PPh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terhutang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bersifat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Final.</w:t>
            </w:r>
          </w:p>
          <w:p w:rsidR="004070B9" w:rsidRPr="004070B9" w:rsidRDefault="004070B9" w:rsidP="004070B9">
            <w:pPr>
              <w:numPr>
                <w:ilvl w:val="0"/>
                <w:numId w:val="12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Petunjuk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pemotongan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PPh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pasal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21</w:t>
            </w:r>
          </w:p>
          <w:p w:rsidR="004070B9" w:rsidRPr="004070B9" w:rsidRDefault="004070B9" w:rsidP="004070B9">
            <w:pPr>
              <w:numPr>
                <w:ilvl w:val="0"/>
                <w:numId w:val="12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Pemotong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/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bukan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pemotong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PPh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pasal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21 </w:t>
            </w:r>
          </w:p>
          <w:p w:rsidR="004070B9" w:rsidRPr="004070B9" w:rsidRDefault="004070B9" w:rsidP="004070B9">
            <w:pPr>
              <w:numPr>
                <w:ilvl w:val="0"/>
                <w:numId w:val="12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Penerima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penghasilan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dipotong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penerima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penghasilan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dikecualikan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dari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pemotongan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</w:p>
          <w:p w:rsidR="004070B9" w:rsidRPr="004070B9" w:rsidRDefault="004070B9" w:rsidP="004070B9">
            <w:pPr>
              <w:numPr>
                <w:ilvl w:val="0"/>
                <w:numId w:val="12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Objek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/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bukan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objek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PPh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pasal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21</w:t>
            </w:r>
          </w:p>
          <w:p w:rsidR="004070B9" w:rsidRPr="004070B9" w:rsidRDefault="004070B9" w:rsidP="004070B9">
            <w:pPr>
              <w:numPr>
                <w:ilvl w:val="0"/>
                <w:numId w:val="12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Penghitung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PPh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pasal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21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bulanan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Pegawai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Tetap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,</w:t>
            </w:r>
          </w:p>
          <w:p w:rsidR="004070B9" w:rsidRPr="004070B9" w:rsidRDefault="004070B9" w:rsidP="004070B9">
            <w:pPr>
              <w:numPr>
                <w:ilvl w:val="0"/>
                <w:numId w:val="12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bulanan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mantan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pegawai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penerima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pensiun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THT, </w:t>
            </w:r>
          </w:p>
          <w:p w:rsidR="004070B9" w:rsidRPr="004070B9" w:rsidRDefault="004070B9" w:rsidP="004070B9">
            <w:pPr>
              <w:numPr>
                <w:ilvl w:val="0"/>
                <w:numId w:val="12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karena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kenaikan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gaji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uang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rapelan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), </w:t>
            </w:r>
          </w:p>
          <w:p w:rsidR="004070B9" w:rsidRPr="004070B9" w:rsidRDefault="004070B9" w:rsidP="004070B9">
            <w:pPr>
              <w:numPr>
                <w:ilvl w:val="0"/>
                <w:numId w:val="12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Pegawai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baru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pindah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kerja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</w:p>
          <w:p w:rsidR="004070B9" w:rsidRPr="004070B9" w:rsidRDefault="004070B9" w:rsidP="004070B9">
            <w:pPr>
              <w:numPr>
                <w:ilvl w:val="0"/>
                <w:numId w:val="12"/>
              </w:numPr>
              <w:spacing w:after="0" w:line="240" w:lineRule="auto"/>
              <w:ind w:left="342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Pegawai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menerima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bonus,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Penerima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Penghasilan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lainnya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Penghasilan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bersifat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final, </w:t>
            </w:r>
          </w:p>
          <w:p w:rsidR="004070B9" w:rsidRPr="004070B9" w:rsidRDefault="004070B9" w:rsidP="001F572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</w:p>
        </w:tc>
        <w:tc>
          <w:tcPr>
            <w:tcW w:w="1627" w:type="dxa"/>
          </w:tcPr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K: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M/bab4 bag1 dan bag 4</w:t>
            </w:r>
          </w:p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R: P: -</w:t>
            </w:r>
          </w:p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KM: Reading assignment (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hal 129-144 dan 158-176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), case</w:t>
            </w:r>
          </w:p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T: -</w:t>
            </w:r>
          </w:p>
          <w:p w:rsidR="004070B9" w:rsidRPr="004070B9" w:rsidRDefault="004070B9" w:rsidP="001F572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</w:p>
        </w:tc>
      </w:tr>
      <w:tr w:rsidR="004070B9" w:rsidRPr="004070B9" w:rsidTr="001F5725">
        <w:trPr>
          <w:jc w:val="center"/>
        </w:trPr>
        <w:tc>
          <w:tcPr>
            <w:tcW w:w="725" w:type="dxa"/>
          </w:tcPr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0359" w:type="dxa"/>
            <w:gridSpan w:val="4"/>
          </w:tcPr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UTS</w:t>
            </w:r>
          </w:p>
        </w:tc>
      </w:tr>
      <w:tr w:rsidR="004070B9" w:rsidRPr="004070B9" w:rsidTr="001F5725">
        <w:trPr>
          <w:jc w:val="center"/>
        </w:trPr>
        <w:tc>
          <w:tcPr>
            <w:tcW w:w="725" w:type="dxa"/>
          </w:tcPr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3210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 xml:space="preserve">Mahasiswa dapat menghitung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PPh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terhutang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atas penghasilan tidak tetap</w:t>
            </w:r>
          </w:p>
        </w:tc>
        <w:tc>
          <w:tcPr>
            <w:tcW w:w="2070" w:type="dxa"/>
          </w:tcPr>
          <w:p w:rsidR="004070B9" w:rsidRPr="004070B9" w:rsidRDefault="004070B9" w:rsidP="004070B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Penghasilan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PPh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Pasal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21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52" w:type="dxa"/>
          </w:tcPr>
          <w:p w:rsidR="004070B9" w:rsidRPr="004070B9" w:rsidRDefault="004070B9" w:rsidP="004070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entury Gothic"/>
                <w:color w:val="000000"/>
                <w:sz w:val="20"/>
                <w:szCs w:val="20"/>
              </w:rPr>
            </w:pPr>
            <w:proofErr w:type="spellStart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lastRenderedPageBreak/>
              <w:t>Pegawai</w:t>
            </w:r>
            <w:proofErr w:type="spellEnd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Tetap</w:t>
            </w:r>
            <w:proofErr w:type="spellEnd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,</w:t>
            </w:r>
          </w:p>
          <w:p w:rsidR="004070B9" w:rsidRPr="004070B9" w:rsidRDefault="004070B9" w:rsidP="004070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entury Gothic"/>
                <w:color w:val="000000"/>
                <w:sz w:val="20"/>
                <w:szCs w:val="20"/>
              </w:rPr>
            </w:pPr>
            <w:proofErr w:type="spellStart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Pegawai</w:t>
            </w:r>
            <w:proofErr w:type="spellEnd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Harian</w:t>
            </w:r>
            <w:proofErr w:type="spellEnd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, </w:t>
            </w:r>
          </w:p>
          <w:p w:rsidR="004070B9" w:rsidRPr="004070B9" w:rsidRDefault="004070B9" w:rsidP="004070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entury Gothic"/>
                <w:color w:val="000000"/>
                <w:sz w:val="20"/>
                <w:szCs w:val="20"/>
              </w:rPr>
            </w:pPr>
            <w:proofErr w:type="spellStart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Pegawai</w:t>
            </w:r>
            <w:proofErr w:type="spellEnd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Mingguan</w:t>
            </w:r>
            <w:proofErr w:type="spellEnd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,</w:t>
            </w:r>
          </w:p>
          <w:p w:rsidR="004070B9" w:rsidRPr="004070B9" w:rsidRDefault="004070B9" w:rsidP="004070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entury Gothic"/>
                <w:color w:val="000000"/>
                <w:sz w:val="20"/>
                <w:szCs w:val="20"/>
              </w:rPr>
            </w:pPr>
            <w:proofErr w:type="spellStart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lastRenderedPageBreak/>
              <w:t>Pegawai</w:t>
            </w:r>
            <w:proofErr w:type="spellEnd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Borongan</w:t>
            </w:r>
            <w:proofErr w:type="spellEnd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, </w:t>
            </w:r>
          </w:p>
          <w:p w:rsidR="004070B9" w:rsidRPr="004070B9" w:rsidRDefault="004070B9" w:rsidP="004070B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penerima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honorarium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lainnya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</w:p>
          <w:p w:rsidR="004070B9" w:rsidRPr="004070B9" w:rsidRDefault="004070B9" w:rsidP="004070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entury Gothic"/>
                <w:color w:val="000000"/>
                <w:sz w:val="20"/>
                <w:szCs w:val="20"/>
              </w:rPr>
            </w:pPr>
            <w:proofErr w:type="spellStart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Tarif</w:t>
            </w:r>
            <w:proofErr w:type="spellEnd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PPh</w:t>
            </w:r>
            <w:proofErr w:type="spellEnd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pasal</w:t>
            </w:r>
            <w:proofErr w:type="spellEnd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26, Tata </w:t>
            </w:r>
            <w:proofErr w:type="spellStart"/>
            <w:proofErr w:type="gramStart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cara</w:t>
            </w:r>
            <w:proofErr w:type="spellEnd"/>
            <w:proofErr w:type="gramEnd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penyetoran</w:t>
            </w:r>
            <w:proofErr w:type="spellEnd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pelaporan</w:t>
            </w:r>
            <w:proofErr w:type="spellEnd"/>
            <w:r w:rsidRPr="004070B9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K: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M/bab4 , bag 4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R: P: -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KM: 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T: -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</w:p>
        </w:tc>
      </w:tr>
      <w:tr w:rsidR="004070B9" w:rsidRPr="004070B9" w:rsidTr="001F5725">
        <w:trPr>
          <w:jc w:val="center"/>
        </w:trPr>
        <w:tc>
          <w:tcPr>
            <w:tcW w:w="725" w:type="dxa"/>
          </w:tcPr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10" w:type="dxa"/>
          </w:tcPr>
          <w:p w:rsidR="004070B9" w:rsidRPr="004070B9" w:rsidRDefault="004070B9" w:rsidP="004070B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dapat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pph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pasal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22 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Penghasilan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pasal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 22</w:t>
            </w:r>
          </w:p>
        </w:tc>
        <w:tc>
          <w:tcPr>
            <w:tcW w:w="3452" w:type="dxa"/>
          </w:tcPr>
          <w:p w:rsidR="004070B9" w:rsidRPr="004070B9" w:rsidRDefault="004070B9" w:rsidP="004070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id-ID" w:eastAsia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 w:eastAsia="id-ID"/>
              </w:rPr>
              <w:t>Pengertian PPh Pasal 22,</w:t>
            </w:r>
          </w:p>
          <w:p w:rsidR="004070B9" w:rsidRPr="004070B9" w:rsidRDefault="004070B9" w:rsidP="004070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id-ID" w:eastAsia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 w:eastAsia="id-ID"/>
              </w:rPr>
              <w:t xml:space="preserve">Petunjuk pemotongan PPh pasal 22, </w:t>
            </w:r>
          </w:p>
          <w:p w:rsidR="004070B9" w:rsidRPr="004070B9" w:rsidRDefault="004070B9" w:rsidP="004070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id-ID" w:eastAsia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 w:eastAsia="id-ID"/>
              </w:rPr>
              <w:t>Pemotong / pemungut PPh pasal 22,</w:t>
            </w:r>
          </w:p>
          <w:p w:rsidR="004070B9" w:rsidRPr="004070B9" w:rsidRDefault="004070B9" w:rsidP="004070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id-ID" w:eastAsia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 w:eastAsia="id-ID"/>
              </w:rPr>
              <w:t xml:space="preserve">Objek PPh pasal 22, Penerima penghasilan objek PPh pasal 22, </w:t>
            </w:r>
          </w:p>
          <w:p w:rsidR="004070B9" w:rsidRPr="004070B9" w:rsidRDefault="004070B9" w:rsidP="004070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id-ID" w:eastAsia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 w:eastAsia="id-ID"/>
              </w:rPr>
              <w:t xml:space="preserve">Tarif dan dasar pemungutan PPh pasal 22, </w:t>
            </w:r>
          </w:p>
          <w:p w:rsidR="004070B9" w:rsidRPr="004070B9" w:rsidRDefault="004070B9" w:rsidP="004070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id-ID" w:eastAsia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 w:eastAsia="id-ID"/>
              </w:rPr>
              <w:t xml:space="preserve">Pengecualian dari pemungutan, </w:t>
            </w:r>
          </w:p>
          <w:p w:rsidR="004070B9" w:rsidRPr="004070B9" w:rsidRDefault="004070B9" w:rsidP="004070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id-ID" w:eastAsia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 w:eastAsia="id-ID"/>
              </w:rPr>
              <w:t>Tata cara penyetoran dan pelaporan.</w:t>
            </w:r>
          </w:p>
        </w:tc>
        <w:tc>
          <w:tcPr>
            <w:tcW w:w="1627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K: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M/bab4 bag 5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R: P: -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KM: Reading assignment 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T: -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070B9" w:rsidRPr="004070B9" w:rsidTr="001F5725">
        <w:trPr>
          <w:jc w:val="center"/>
        </w:trPr>
        <w:tc>
          <w:tcPr>
            <w:tcW w:w="725" w:type="dxa"/>
          </w:tcPr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3210" w:type="dxa"/>
          </w:tcPr>
          <w:p w:rsidR="004070B9" w:rsidRPr="004070B9" w:rsidRDefault="004070B9" w:rsidP="004070B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dapat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pph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pasal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23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Penghasilan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pasal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 23 </w:t>
            </w:r>
          </w:p>
        </w:tc>
        <w:tc>
          <w:tcPr>
            <w:tcW w:w="3452" w:type="dxa"/>
          </w:tcPr>
          <w:p w:rsidR="004070B9" w:rsidRPr="004070B9" w:rsidRDefault="004070B9" w:rsidP="004070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 w:eastAsia="id-ID"/>
              </w:rPr>
              <w:t>Pengertian PPh Pasal 23,</w:t>
            </w:r>
          </w:p>
          <w:p w:rsidR="004070B9" w:rsidRPr="004070B9" w:rsidRDefault="004070B9" w:rsidP="004070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 w:eastAsia="id-ID"/>
              </w:rPr>
              <w:t xml:space="preserve">Petunjuk pemotongan PPh pasal 23, </w:t>
            </w:r>
          </w:p>
          <w:p w:rsidR="004070B9" w:rsidRPr="004070B9" w:rsidRDefault="004070B9" w:rsidP="004070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 w:eastAsia="id-ID"/>
              </w:rPr>
              <w:t>Pemotong / pemungut PPh pasal 23, Objek PPh pasal 23,</w:t>
            </w:r>
          </w:p>
          <w:p w:rsidR="004070B9" w:rsidRPr="004070B9" w:rsidRDefault="004070B9" w:rsidP="004070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 w:eastAsia="id-ID"/>
              </w:rPr>
              <w:t xml:space="preserve">Penghasilan Dikecualikan dari objek PPh pasal 23, </w:t>
            </w:r>
          </w:p>
          <w:p w:rsidR="004070B9" w:rsidRPr="004070B9" w:rsidRDefault="004070B9" w:rsidP="004070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 w:eastAsia="id-ID"/>
              </w:rPr>
              <w:t xml:space="preserve">Tarif dan dasar pemungutan, Tata cara penyetoran dan pelaporan. </w:t>
            </w:r>
          </w:p>
          <w:p w:rsidR="004070B9" w:rsidRPr="004070B9" w:rsidRDefault="004070B9" w:rsidP="004070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27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K: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M/bab 4 bag 6 dan 11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R: P: -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KM: Reading assignment 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T: -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070B9" w:rsidRPr="004070B9" w:rsidTr="001F5725">
        <w:trPr>
          <w:jc w:val="center"/>
        </w:trPr>
        <w:tc>
          <w:tcPr>
            <w:tcW w:w="725" w:type="dxa"/>
          </w:tcPr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1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3210" w:type="dxa"/>
          </w:tcPr>
          <w:p w:rsidR="004070B9" w:rsidRPr="004070B9" w:rsidRDefault="004070B9" w:rsidP="004070B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dapat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pph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pasal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24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Penghasilan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pasal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 24</w:t>
            </w:r>
          </w:p>
        </w:tc>
        <w:tc>
          <w:tcPr>
            <w:tcW w:w="3452" w:type="dxa"/>
          </w:tcPr>
          <w:p w:rsidR="004070B9" w:rsidRPr="004070B9" w:rsidRDefault="004070B9" w:rsidP="004070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 w:eastAsia="id-ID"/>
              </w:rPr>
              <w:t xml:space="preserve">Pengertian PPh pasal 24, Petunjuk pemotongan PPh pasal 24 (kredit pajak luar negeri), </w:t>
            </w:r>
          </w:p>
          <w:p w:rsidR="004070B9" w:rsidRPr="004070B9" w:rsidRDefault="004070B9" w:rsidP="004070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 w:eastAsia="id-ID"/>
              </w:rPr>
              <w:t>Cara penghitungan PPh pasal 24.</w:t>
            </w:r>
            <w:r w:rsidRPr="004070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</w:p>
          <w:p w:rsidR="004070B9" w:rsidRPr="004070B9" w:rsidRDefault="004070B9" w:rsidP="004070B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627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K: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M/bab4 bag 7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R: P: -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KM: Reading assignment (Page 2-29), case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T: -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070B9" w:rsidRPr="004070B9" w:rsidTr="001F5725">
        <w:trPr>
          <w:jc w:val="center"/>
        </w:trPr>
        <w:tc>
          <w:tcPr>
            <w:tcW w:w="725" w:type="dxa"/>
          </w:tcPr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3210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 xml:space="preserve">Mahasiswa dapat mengisi </w:t>
            </w:r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SPT </w:t>
            </w: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Masa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 SPT </w:t>
            </w: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Tahunan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 PP</w:t>
            </w:r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id-ID"/>
              </w:rPr>
              <w:t>h (orang pribadi)</w:t>
            </w:r>
          </w:p>
        </w:tc>
        <w:tc>
          <w:tcPr>
            <w:tcW w:w="2070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SPT </w:t>
            </w: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Tahunan</w:t>
            </w:r>
            <w:proofErr w:type="spellEnd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PPh</w:t>
            </w:r>
            <w:proofErr w:type="spellEnd"/>
          </w:p>
        </w:tc>
        <w:tc>
          <w:tcPr>
            <w:tcW w:w="3452" w:type="dxa"/>
          </w:tcPr>
          <w:p w:rsidR="004070B9" w:rsidRPr="004070B9" w:rsidRDefault="004070B9" w:rsidP="004070B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4070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id-ID" w:eastAsia="id-ID"/>
              </w:rPr>
              <w:t xml:space="preserve">Pengisian SPT Tahunan PPh Pasal 21, 22, 23, 26. </w:t>
            </w:r>
          </w:p>
          <w:p w:rsidR="004070B9" w:rsidRPr="004070B9" w:rsidRDefault="004070B9" w:rsidP="004070B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27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K: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M/bab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R: P: -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KM: Reading assignment 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T: -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mengisikan SPT WP</w:t>
            </w:r>
          </w:p>
        </w:tc>
      </w:tr>
      <w:tr w:rsidR="004070B9" w:rsidRPr="004070B9" w:rsidTr="001F5725">
        <w:trPr>
          <w:jc w:val="center"/>
        </w:trPr>
        <w:tc>
          <w:tcPr>
            <w:tcW w:w="725" w:type="dxa"/>
          </w:tcPr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1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3210" w:type="dxa"/>
          </w:tcPr>
          <w:p w:rsidR="004070B9" w:rsidRPr="004070B9" w:rsidRDefault="004070B9" w:rsidP="004070B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dapat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PBB dan BPHTB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PBB dan BPHTB</w:t>
            </w:r>
          </w:p>
        </w:tc>
        <w:tc>
          <w:tcPr>
            <w:tcW w:w="3452" w:type="dxa"/>
          </w:tcPr>
          <w:p w:rsidR="004070B9" w:rsidRPr="004070B9" w:rsidRDefault="004070B9" w:rsidP="004070B9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PBB,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objek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subjek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PBB</w:t>
            </w:r>
          </w:p>
          <w:p w:rsidR="004070B9" w:rsidRPr="004070B9" w:rsidRDefault="004070B9" w:rsidP="004070B9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Tariff,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dasar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pengenaan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cara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menghitung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PBB</w:t>
            </w:r>
          </w:p>
          <w:p w:rsidR="004070B9" w:rsidRPr="004070B9" w:rsidRDefault="004070B9" w:rsidP="004070B9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PBB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terhutang</w:t>
            </w:r>
            <w:proofErr w:type="spellEnd"/>
          </w:p>
        </w:tc>
        <w:tc>
          <w:tcPr>
            <w:tcW w:w="1627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K: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M/bab7 dan 8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R: P: -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KM: Reading assignment 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T: -</w:t>
            </w:r>
          </w:p>
        </w:tc>
      </w:tr>
      <w:tr w:rsidR="004070B9" w:rsidRPr="004070B9" w:rsidTr="001F5725">
        <w:trPr>
          <w:jc w:val="center"/>
        </w:trPr>
        <w:tc>
          <w:tcPr>
            <w:tcW w:w="725" w:type="dxa"/>
          </w:tcPr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1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3210" w:type="dxa"/>
          </w:tcPr>
          <w:p w:rsidR="004070B9" w:rsidRPr="004070B9" w:rsidRDefault="004070B9" w:rsidP="004070B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dapat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pajak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bea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materai</w:t>
            </w:r>
            <w:proofErr w:type="spellEnd"/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Bea materai</w:t>
            </w:r>
          </w:p>
        </w:tc>
        <w:tc>
          <w:tcPr>
            <w:tcW w:w="3452" w:type="dxa"/>
          </w:tcPr>
          <w:p w:rsidR="004070B9" w:rsidRPr="004070B9" w:rsidRDefault="004070B9" w:rsidP="004070B9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Pengertian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bea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materai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objek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dan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subjek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bea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materai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Tarif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bea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materai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Saat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terhutangnya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bea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materai</w:t>
            </w:r>
            <w:proofErr w:type="spellEnd"/>
          </w:p>
          <w:p w:rsidR="004070B9" w:rsidRPr="004070B9" w:rsidRDefault="004070B9" w:rsidP="004070B9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Cara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pelunasan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bea</w:t>
            </w:r>
            <w:proofErr w:type="spellEnd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materai</w:t>
            </w:r>
            <w:proofErr w:type="spellEnd"/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K: </w:t>
            </w:r>
            <w:r w:rsidRPr="004070B9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M/bab6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R: P: -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KM: Reading assignment 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T: -</w:t>
            </w:r>
          </w:p>
          <w:p w:rsidR="004070B9" w:rsidRPr="004070B9" w:rsidRDefault="004070B9" w:rsidP="004070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</w:p>
        </w:tc>
      </w:tr>
      <w:tr w:rsidR="004070B9" w:rsidRPr="004070B9" w:rsidTr="001F5725">
        <w:trPr>
          <w:jc w:val="center"/>
        </w:trPr>
        <w:tc>
          <w:tcPr>
            <w:tcW w:w="725" w:type="dxa"/>
          </w:tcPr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070B9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10359" w:type="dxa"/>
            <w:gridSpan w:val="4"/>
          </w:tcPr>
          <w:p w:rsidR="004070B9" w:rsidRPr="004070B9" w:rsidRDefault="004070B9" w:rsidP="004070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4070B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UAS</w:t>
            </w:r>
          </w:p>
        </w:tc>
      </w:tr>
    </w:tbl>
    <w:p w:rsidR="00005EF8" w:rsidRDefault="004070B9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91E"/>
    <w:multiLevelType w:val="hybridMultilevel"/>
    <w:tmpl w:val="01EABE54"/>
    <w:lvl w:ilvl="0" w:tplc="D812C31C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1554A"/>
    <w:multiLevelType w:val="hybridMultilevel"/>
    <w:tmpl w:val="80EC5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D597E"/>
    <w:multiLevelType w:val="hybridMultilevel"/>
    <w:tmpl w:val="7BC818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50222"/>
    <w:multiLevelType w:val="hybridMultilevel"/>
    <w:tmpl w:val="F6AEF704"/>
    <w:lvl w:ilvl="0" w:tplc="D812C31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0074F"/>
    <w:multiLevelType w:val="singleLevel"/>
    <w:tmpl w:val="F32C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7CD2D9D"/>
    <w:multiLevelType w:val="hybridMultilevel"/>
    <w:tmpl w:val="7F263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F319DE"/>
    <w:multiLevelType w:val="hybridMultilevel"/>
    <w:tmpl w:val="B63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75350"/>
    <w:multiLevelType w:val="hybridMultilevel"/>
    <w:tmpl w:val="FA229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B712DE"/>
    <w:multiLevelType w:val="hybridMultilevel"/>
    <w:tmpl w:val="B4F4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406AD"/>
    <w:multiLevelType w:val="hybridMultilevel"/>
    <w:tmpl w:val="871A724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B53856"/>
    <w:multiLevelType w:val="singleLevel"/>
    <w:tmpl w:val="D812C31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78CF7C86"/>
    <w:multiLevelType w:val="hybridMultilevel"/>
    <w:tmpl w:val="F6AEF704"/>
    <w:lvl w:ilvl="0" w:tplc="D812C31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B9"/>
    <w:rsid w:val="004070B9"/>
    <w:rsid w:val="0096779A"/>
    <w:rsid w:val="00C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2018-03-08T06:34:00Z</dcterms:created>
  <dcterms:modified xsi:type="dcterms:W3CDTF">2018-03-08T06:41:00Z</dcterms:modified>
</cp:coreProperties>
</file>